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9E" w:rsidRPr="00097E81" w:rsidRDefault="00895CBE" w:rsidP="007D6B58">
      <w:pPr>
        <w:ind w:right="-7"/>
      </w:pPr>
      <w:r w:rsidRPr="00097E81">
        <w:rPr>
          <w:noProof/>
        </w:rPr>
        <w:drawing>
          <wp:inline distT="0" distB="0" distL="0" distR="0">
            <wp:extent cx="5819775" cy="1571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9775" cy="1571625"/>
                    </a:xfrm>
                    <a:prstGeom prst="rect">
                      <a:avLst/>
                    </a:prstGeom>
                    <a:noFill/>
                    <a:ln w="9525">
                      <a:noFill/>
                      <a:miter lim="800000"/>
                      <a:headEnd/>
                      <a:tailEnd/>
                    </a:ln>
                  </pic:spPr>
                </pic:pic>
              </a:graphicData>
            </a:graphic>
          </wp:inline>
        </w:drawing>
      </w:r>
    </w:p>
    <w:p w:rsidR="00A51AE5" w:rsidRPr="00097E81" w:rsidRDefault="00A51AE5" w:rsidP="00FC789E">
      <w:pPr>
        <w:autoSpaceDE w:val="0"/>
        <w:ind w:left="720" w:firstLine="720"/>
        <w:jc w:val="center"/>
        <w:rPr>
          <w:b/>
          <w:bCs/>
          <w:lang w:val="en-GB"/>
        </w:rPr>
      </w:pPr>
    </w:p>
    <w:p w:rsidR="00FC789E" w:rsidRPr="00097E81" w:rsidRDefault="00FC789E" w:rsidP="0097413D">
      <w:pPr>
        <w:autoSpaceDE w:val="0"/>
        <w:jc w:val="center"/>
        <w:rPr>
          <w:b/>
          <w:bCs/>
          <w:lang w:val="en-GB"/>
        </w:rPr>
      </w:pPr>
      <w:r w:rsidRPr="00097E81">
        <w:rPr>
          <w:b/>
          <w:bCs/>
          <w:lang w:val="en-GB"/>
        </w:rPr>
        <w:t>OPINION</w:t>
      </w:r>
    </w:p>
    <w:p w:rsidR="00FC789E" w:rsidRPr="00097E81" w:rsidRDefault="00FC789E" w:rsidP="00FC789E">
      <w:pPr>
        <w:autoSpaceDE w:val="0"/>
        <w:ind w:left="720" w:firstLine="720"/>
        <w:jc w:val="both"/>
        <w:rPr>
          <w:b/>
          <w:bCs/>
          <w:lang w:val="en-GB"/>
        </w:rPr>
      </w:pPr>
    </w:p>
    <w:p w:rsidR="00FC789E" w:rsidRPr="00097E81" w:rsidRDefault="00FC789E" w:rsidP="00FC789E">
      <w:pPr>
        <w:autoSpaceDE w:val="0"/>
        <w:jc w:val="both"/>
        <w:rPr>
          <w:b/>
          <w:bCs/>
          <w:lang w:val="en-GB"/>
        </w:rPr>
      </w:pPr>
      <w:r w:rsidRPr="00097E81">
        <w:rPr>
          <w:b/>
          <w:bCs/>
          <w:lang w:val="en-GB"/>
        </w:rPr>
        <w:t xml:space="preserve">Date of adoption: </w:t>
      </w:r>
      <w:r w:rsidR="008126F2" w:rsidRPr="00097E81">
        <w:rPr>
          <w:b/>
          <w:bCs/>
          <w:lang w:val="en-GB"/>
        </w:rPr>
        <w:t>23</w:t>
      </w:r>
      <w:r w:rsidRPr="00097E81">
        <w:rPr>
          <w:b/>
          <w:bCs/>
          <w:lang w:val="en-GB"/>
        </w:rPr>
        <w:t xml:space="preserve"> </w:t>
      </w:r>
      <w:r w:rsidR="00490975" w:rsidRPr="00097E81">
        <w:rPr>
          <w:b/>
          <w:bCs/>
          <w:lang w:val="en-GB"/>
        </w:rPr>
        <w:t>April</w:t>
      </w:r>
      <w:r w:rsidRPr="00097E81">
        <w:rPr>
          <w:b/>
          <w:bCs/>
          <w:lang w:val="en-GB"/>
        </w:rPr>
        <w:t xml:space="preserve"> 2013</w:t>
      </w:r>
    </w:p>
    <w:p w:rsidR="00FC789E" w:rsidRPr="00097E81" w:rsidRDefault="00FC789E" w:rsidP="00FC789E">
      <w:pPr>
        <w:autoSpaceDE w:val="0"/>
        <w:jc w:val="both"/>
        <w:rPr>
          <w:b/>
          <w:bCs/>
          <w:lang w:val="en-GB"/>
        </w:rPr>
      </w:pPr>
    </w:p>
    <w:p w:rsidR="00FC789E" w:rsidRPr="00097E81" w:rsidRDefault="00FC789E" w:rsidP="00FC789E">
      <w:pPr>
        <w:autoSpaceDE w:val="0"/>
        <w:jc w:val="both"/>
        <w:rPr>
          <w:b/>
          <w:bCs/>
          <w:lang w:val="en-GB"/>
        </w:rPr>
      </w:pPr>
    </w:p>
    <w:p w:rsidR="00FC789E" w:rsidRPr="00097E81" w:rsidRDefault="00FC789E" w:rsidP="00FC789E">
      <w:pPr>
        <w:autoSpaceDE w:val="0"/>
        <w:jc w:val="both"/>
        <w:rPr>
          <w:b/>
          <w:bCs/>
          <w:lang w:val="en-GB"/>
        </w:rPr>
      </w:pPr>
      <w:r w:rsidRPr="00097E81">
        <w:rPr>
          <w:b/>
          <w:bCs/>
          <w:lang w:val="en-GB"/>
        </w:rPr>
        <w:t>Case No. 34/09</w:t>
      </w:r>
    </w:p>
    <w:p w:rsidR="00FC789E" w:rsidRPr="00097E81" w:rsidRDefault="00FC789E" w:rsidP="00FC789E">
      <w:pPr>
        <w:autoSpaceDE w:val="0"/>
        <w:jc w:val="both"/>
        <w:rPr>
          <w:b/>
          <w:bCs/>
          <w:lang w:val="en-GB"/>
        </w:rPr>
      </w:pPr>
    </w:p>
    <w:p w:rsidR="00FC789E" w:rsidRPr="00097E81" w:rsidRDefault="00FC789E" w:rsidP="00FC789E">
      <w:pPr>
        <w:autoSpaceDE w:val="0"/>
        <w:jc w:val="both"/>
        <w:rPr>
          <w:b/>
          <w:bCs/>
          <w:lang w:val="en-GB"/>
        </w:rPr>
      </w:pPr>
      <w:r w:rsidRPr="00097E81">
        <w:rPr>
          <w:b/>
          <w:bCs/>
          <w:lang w:val="en-GB"/>
        </w:rPr>
        <w:t xml:space="preserve">Svetlana </w:t>
      </w:r>
      <w:r w:rsidRPr="00097E81">
        <w:rPr>
          <w:b/>
          <w:bCs/>
          <w:caps/>
          <w:lang w:val="en-GB"/>
        </w:rPr>
        <w:t>joČić</w:t>
      </w:r>
    </w:p>
    <w:p w:rsidR="00FC789E" w:rsidRPr="00097E81" w:rsidRDefault="00FC789E" w:rsidP="00FC789E">
      <w:pPr>
        <w:autoSpaceDE w:val="0"/>
        <w:jc w:val="both"/>
        <w:rPr>
          <w:b/>
          <w:bCs/>
          <w:lang w:val="en-GB"/>
        </w:rPr>
      </w:pPr>
    </w:p>
    <w:p w:rsidR="00FC789E" w:rsidRPr="00097E81" w:rsidRDefault="00FC789E" w:rsidP="00FC789E">
      <w:pPr>
        <w:autoSpaceDE w:val="0"/>
        <w:jc w:val="both"/>
        <w:rPr>
          <w:b/>
          <w:bCs/>
          <w:lang w:val="en-GB"/>
        </w:rPr>
      </w:pPr>
      <w:r w:rsidRPr="00097E81">
        <w:rPr>
          <w:b/>
          <w:bCs/>
          <w:lang w:val="en-GB"/>
        </w:rPr>
        <w:t>against</w:t>
      </w:r>
    </w:p>
    <w:p w:rsidR="00FC789E" w:rsidRPr="00097E81" w:rsidRDefault="00FC789E" w:rsidP="00FC789E">
      <w:pPr>
        <w:autoSpaceDE w:val="0"/>
        <w:jc w:val="both"/>
        <w:rPr>
          <w:b/>
          <w:bCs/>
          <w:lang w:val="en-GB"/>
        </w:rPr>
      </w:pPr>
    </w:p>
    <w:p w:rsidR="00FC789E" w:rsidRPr="00097E81" w:rsidRDefault="00FC789E" w:rsidP="00FC789E">
      <w:pPr>
        <w:autoSpaceDE w:val="0"/>
        <w:jc w:val="both"/>
        <w:rPr>
          <w:b/>
          <w:bCs/>
          <w:lang w:val="en-GB"/>
        </w:rPr>
      </w:pPr>
      <w:r w:rsidRPr="00097E81">
        <w:rPr>
          <w:b/>
          <w:bCs/>
          <w:lang w:val="en-GB"/>
        </w:rPr>
        <w:t xml:space="preserve">UNMIK </w:t>
      </w:r>
    </w:p>
    <w:p w:rsidR="00FC789E" w:rsidRPr="00097E81" w:rsidRDefault="00FC789E" w:rsidP="00FC789E">
      <w:pPr>
        <w:autoSpaceDE w:val="0"/>
        <w:jc w:val="both"/>
        <w:rPr>
          <w:b/>
          <w:bCs/>
          <w:lang w:val="en-GB"/>
        </w:rPr>
      </w:pPr>
      <w:r w:rsidRPr="00097E81">
        <w:rPr>
          <w:b/>
          <w:bCs/>
          <w:lang w:val="en-GB"/>
        </w:rPr>
        <w:t xml:space="preserve"> </w:t>
      </w:r>
    </w:p>
    <w:p w:rsidR="00FC789E" w:rsidRPr="00097E81" w:rsidRDefault="00FC789E" w:rsidP="00FC789E">
      <w:pPr>
        <w:autoSpaceDE w:val="0"/>
        <w:jc w:val="both"/>
        <w:rPr>
          <w:b/>
          <w:bCs/>
          <w:lang w:val="en-GB"/>
        </w:rPr>
      </w:pPr>
      <w:r w:rsidRPr="00097E81">
        <w:rPr>
          <w:b/>
          <w:bCs/>
          <w:lang w:val="en-GB"/>
        </w:rPr>
        <w:t xml:space="preserve"> </w:t>
      </w:r>
    </w:p>
    <w:p w:rsidR="00FC789E" w:rsidRPr="00097E81" w:rsidRDefault="008126F2" w:rsidP="00FC789E">
      <w:pPr>
        <w:autoSpaceDE w:val="0"/>
        <w:jc w:val="both"/>
        <w:rPr>
          <w:lang w:val="en-GB"/>
        </w:rPr>
      </w:pPr>
      <w:r w:rsidRPr="00097E81">
        <w:rPr>
          <w:lang w:val="en-GB"/>
        </w:rPr>
        <w:t xml:space="preserve">The Human Rights Advisory Panel, </w:t>
      </w:r>
      <w:r w:rsidR="00FC789E" w:rsidRPr="00097E81">
        <w:rPr>
          <w:lang w:val="en-GB"/>
        </w:rPr>
        <w:t xml:space="preserve">on </w:t>
      </w:r>
      <w:r w:rsidRPr="00097E81">
        <w:rPr>
          <w:lang w:val="en-GB"/>
        </w:rPr>
        <w:t>23</w:t>
      </w:r>
      <w:r w:rsidR="00FC789E" w:rsidRPr="00097E81">
        <w:rPr>
          <w:lang w:val="en-GB"/>
        </w:rPr>
        <w:t xml:space="preserve"> </w:t>
      </w:r>
      <w:r w:rsidR="00490975" w:rsidRPr="00097E81">
        <w:rPr>
          <w:lang w:val="en-GB"/>
        </w:rPr>
        <w:t>April</w:t>
      </w:r>
      <w:r w:rsidR="00FC789E" w:rsidRPr="00097E81">
        <w:rPr>
          <w:lang w:val="en-GB"/>
        </w:rPr>
        <w:t xml:space="preserve"> 2013, </w:t>
      </w:r>
    </w:p>
    <w:p w:rsidR="00FC789E" w:rsidRPr="00097E81" w:rsidRDefault="00FC789E" w:rsidP="00FC789E">
      <w:pPr>
        <w:autoSpaceDE w:val="0"/>
        <w:jc w:val="both"/>
        <w:rPr>
          <w:lang w:val="en-GB"/>
        </w:rPr>
      </w:pPr>
      <w:r w:rsidRPr="00097E81">
        <w:rPr>
          <w:lang w:val="en-GB"/>
        </w:rPr>
        <w:t xml:space="preserve">with the following members </w:t>
      </w:r>
      <w:r w:rsidR="00DA10CD" w:rsidRPr="00097E81">
        <w:rPr>
          <w:lang w:val="en-GB"/>
        </w:rPr>
        <w:t>taking part</w:t>
      </w:r>
      <w:r w:rsidRPr="00097E81">
        <w:rPr>
          <w:lang w:val="en-GB"/>
        </w:rPr>
        <w:t>:</w:t>
      </w:r>
    </w:p>
    <w:p w:rsidR="00FC789E" w:rsidRPr="00097E81" w:rsidRDefault="00FC789E" w:rsidP="00FC789E">
      <w:pPr>
        <w:autoSpaceDE w:val="0"/>
        <w:jc w:val="both"/>
        <w:rPr>
          <w:lang w:val="en-GB"/>
        </w:rPr>
      </w:pPr>
    </w:p>
    <w:p w:rsidR="00FC789E" w:rsidRPr="00097E81" w:rsidRDefault="00FC789E" w:rsidP="00FC789E">
      <w:pPr>
        <w:autoSpaceDE w:val="0"/>
        <w:jc w:val="both"/>
        <w:rPr>
          <w:lang w:val="en-GB"/>
        </w:rPr>
      </w:pPr>
      <w:r w:rsidRPr="00097E81">
        <w:rPr>
          <w:lang w:val="en-GB"/>
        </w:rPr>
        <w:t>Mr Marek NOWICKI, Presiding Member</w:t>
      </w:r>
    </w:p>
    <w:p w:rsidR="00FC789E" w:rsidRPr="00097E81" w:rsidRDefault="00FC789E" w:rsidP="00FC789E">
      <w:pPr>
        <w:autoSpaceDE w:val="0"/>
        <w:jc w:val="both"/>
        <w:rPr>
          <w:lang w:val="en-GB"/>
        </w:rPr>
      </w:pPr>
      <w:r w:rsidRPr="00097E81">
        <w:rPr>
          <w:lang w:val="en-GB"/>
        </w:rPr>
        <w:t>Ms Christine CHINKIN</w:t>
      </w:r>
    </w:p>
    <w:p w:rsidR="00FC789E" w:rsidRPr="00097E81" w:rsidRDefault="00FC789E" w:rsidP="00FC789E">
      <w:pPr>
        <w:autoSpaceDE w:val="0"/>
        <w:jc w:val="both"/>
        <w:rPr>
          <w:lang w:val="en-GB"/>
        </w:rPr>
      </w:pPr>
      <w:r w:rsidRPr="00097E81">
        <w:rPr>
          <w:lang w:val="en-GB"/>
        </w:rPr>
        <w:t>Ms Françoise TULKENS</w:t>
      </w:r>
    </w:p>
    <w:p w:rsidR="00FC789E" w:rsidRPr="00097E81" w:rsidRDefault="00FC789E" w:rsidP="00FC789E">
      <w:pPr>
        <w:autoSpaceDE w:val="0"/>
        <w:jc w:val="both"/>
        <w:rPr>
          <w:lang w:val="en-GB"/>
        </w:rPr>
      </w:pPr>
    </w:p>
    <w:p w:rsidR="00FC789E" w:rsidRPr="00097E81" w:rsidRDefault="00FC789E" w:rsidP="00FC789E">
      <w:pPr>
        <w:autoSpaceDE w:val="0"/>
        <w:jc w:val="both"/>
        <w:rPr>
          <w:lang w:val="en-GB"/>
        </w:rPr>
      </w:pPr>
      <w:r w:rsidRPr="00097E81">
        <w:rPr>
          <w:lang w:val="en-GB"/>
        </w:rPr>
        <w:t>Assisted by</w:t>
      </w:r>
    </w:p>
    <w:p w:rsidR="00FC789E" w:rsidRPr="00097E81" w:rsidRDefault="00FC789E" w:rsidP="00FC789E">
      <w:pPr>
        <w:autoSpaceDE w:val="0"/>
        <w:jc w:val="both"/>
        <w:rPr>
          <w:lang w:val="en-GB"/>
        </w:rPr>
      </w:pPr>
    </w:p>
    <w:p w:rsidR="00FC789E" w:rsidRPr="00097E81" w:rsidRDefault="00FC789E" w:rsidP="00FC789E">
      <w:pPr>
        <w:autoSpaceDE w:val="0"/>
        <w:jc w:val="both"/>
        <w:rPr>
          <w:lang w:val="en-GB"/>
        </w:rPr>
      </w:pPr>
      <w:r w:rsidRPr="00097E81">
        <w:rPr>
          <w:lang w:val="en-GB"/>
        </w:rPr>
        <w:t>Mr Andrey ANTONOV, Executive Officer</w:t>
      </w:r>
    </w:p>
    <w:p w:rsidR="00FC789E" w:rsidRPr="00097E81" w:rsidRDefault="00FC789E" w:rsidP="00FC789E">
      <w:pPr>
        <w:autoSpaceDE w:val="0"/>
        <w:jc w:val="both"/>
        <w:rPr>
          <w:lang w:val="en-GB"/>
        </w:rPr>
      </w:pPr>
    </w:p>
    <w:p w:rsidR="00FC789E" w:rsidRPr="00097E81" w:rsidRDefault="00FC789E" w:rsidP="00FC789E">
      <w:pPr>
        <w:autoSpaceDE w:val="0"/>
        <w:jc w:val="both"/>
        <w:rPr>
          <w:lang w:val="en-GB"/>
        </w:rPr>
      </w:pPr>
    </w:p>
    <w:p w:rsidR="00FC789E" w:rsidRPr="00097E81" w:rsidRDefault="00FC789E" w:rsidP="00FC789E">
      <w:pPr>
        <w:autoSpaceDE w:val="0"/>
        <w:jc w:val="both"/>
        <w:rPr>
          <w:lang w:val="en-GB"/>
        </w:rPr>
      </w:pPr>
      <w:r w:rsidRPr="00097E81">
        <w:rPr>
          <w:lang w:val="en-GB"/>
        </w:rPr>
        <w:t>Having considered the aforementioned complaint, introduced pursuant to Section 1.2 of UNMIK Regulation No. 2006/12 of 23 March 2006 on the establishment of the Human Rights Advisory Panel,</w:t>
      </w:r>
    </w:p>
    <w:p w:rsidR="00FC789E" w:rsidRPr="00097E81" w:rsidRDefault="00FC789E" w:rsidP="00FC789E">
      <w:pPr>
        <w:autoSpaceDE w:val="0"/>
        <w:jc w:val="both"/>
        <w:rPr>
          <w:lang w:val="en-GB"/>
        </w:rPr>
      </w:pPr>
    </w:p>
    <w:p w:rsidR="001F715B" w:rsidRPr="00097E81" w:rsidRDefault="001F715B" w:rsidP="001F715B">
      <w:pPr>
        <w:autoSpaceDE w:val="0"/>
        <w:jc w:val="both"/>
        <w:rPr>
          <w:lang w:val="en-GB"/>
        </w:rPr>
      </w:pPr>
      <w:r w:rsidRPr="00097E81">
        <w:rPr>
          <w:lang w:val="en-GB"/>
        </w:rPr>
        <w:t>Having deliberated,</w:t>
      </w:r>
      <w:r w:rsidRPr="00097E81">
        <w:t xml:space="preserve"> inc</w:t>
      </w:r>
      <w:r w:rsidR="000D27BD" w:rsidRPr="00097E81">
        <w:t>luding through electronic means,</w:t>
      </w:r>
      <w:r w:rsidRPr="00097E81">
        <w:t xml:space="preserve"> in accordance with Rule 13 § 2 of its Rules of Procedure, makes the following findings and recommendations</w:t>
      </w:r>
      <w:r w:rsidRPr="00097E81">
        <w:rPr>
          <w:lang w:val="en-GB"/>
        </w:rPr>
        <w:t>:</w:t>
      </w:r>
    </w:p>
    <w:p w:rsidR="00FC789E" w:rsidRPr="00097E81" w:rsidRDefault="00FC789E" w:rsidP="00FC789E">
      <w:pPr>
        <w:autoSpaceDE w:val="0"/>
        <w:jc w:val="both"/>
        <w:rPr>
          <w:lang w:val="en-GB"/>
        </w:rPr>
      </w:pPr>
    </w:p>
    <w:p w:rsidR="00FC789E" w:rsidRPr="00097E81" w:rsidRDefault="00FC789E" w:rsidP="00FC789E">
      <w:pPr>
        <w:autoSpaceDE w:val="0"/>
        <w:jc w:val="both"/>
        <w:rPr>
          <w:lang w:val="en-GB"/>
        </w:rPr>
      </w:pPr>
    </w:p>
    <w:p w:rsidR="00FC789E" w:rsidRPr="00097E81" w:rsidRDefault="00FC789E" w:rsidP="00FC789E">
      <w:pPr>
        <w:numPr>
          <w:ilvl w:val="0"/>
          <w:numId w:val="2"/>
        </w:numPr>
        <w:suppressAutoHyphens/>
        <w:autoSpaceDE w:val="0"/>
        <w:ind w:left="360" w:hanging="360"/>
        <w:jc w:val="both"/>
        <w:rPr>
          <w:b/>
          <w:bCs/>
          <w:lang w:val="en-GB"/>
        </w:rPr>
      </w:pPr>
      <w:r w:rsidRPr="00097E81">
        <w:rPr>
          <w:b/>
          <w:bCs/>
          <w:lang w:val="en-GB"/>
        </w:rPr>
        <w:t>PROCEEDINGS BEFORE THE PANEL</w:t>
      </w:r>
    </w:p>
    <w:p w:rsidR="00FC789E" w:rsidRPr="00097E81" w:rsidRDefault="00FC789E" w:rsidP="00FC789E">
      <w:pPr>
        <w:autoSpaceDE w:val="0"/>
        <w:jc w:val="both"/>
        <w:rPr>
          <w:b/>
          <w:bCs/>
          <w:lang w:val="en-GB"/>
        </w:rPr>
      </w:pPr>
    </w:p>
    <w:p w:rsidR="00FC789E" w:rsidRPr="00097E81" w:rsidRDefault="00FC789E" w:rsidP="00FC789E">
      <w:pPr>
        <w:widowControl w:val="0"/>
        <w:numPr>
          <w:ilvl w:val="0"/>
          <w:numId w:val="5"/>
        </w:numPr>
        <w:tabs>
          <w:tab w:val="left" w:pos="1080"/>
        </w:tabs>
        <w:suppressAutoHyphens/>
        <w:jc w:val="both"/>
      </w:pPr>
      <w:r w:rsidRPr="00097E81">
        <w:t xml:space="preserve">The complaint was introduced on 6 March 2009 and registered on the same date. </w:t>
      </w:r>
    </w:p>
    <w:p w:rsidR="00FC789E" w:rsidRPr="00097E81" w:rsidRDefault="00FC789E" w:rsidP="00FC789E">
      <w:pPr>
        <w:widowControl w:val="0"/>
        <w:tabs>
          <w:tab w:val="left" w:pos="1080"/>
        </w:tabs>
        <w:suppressAutoHyphens/>
        <w:jc w:val="both"/>
      </w:pPr>
    </w:p>
    <w:p w:rsidR="00FC789E" w:rsidRPr="00097E81" w:rsidRDefault="00FC789E" w:rsidP="00FC789E">
      <w:pPr>
        <w:widowControl w:val="0"/>
        <w:numPr>
          <w:ilvl w:val="0"/>
          <w:numId w:val="5"/>
        </w:numPr>
        <w:tabs>
          <w:tab w:val="left" w:pos="1080"/>
        </w:tabs>
        <w:suppressAutoHyphens/>
        <w:jc w:val="both"/>
      </w:pPr>
      <w:r w:rsidRPr="00097E81">
        <w:t xml:space="preserve">On 4 May 2009, the Human Rights Advisory Panel requested further information from the complainant. On 31 August 2009 the complainant provided her response.  </w:t>
      </w:r>
    </w:p>
    <w:p w:rsidR="00FC789E" w:rsidRPr="00097E81" w:rsidRDefault="00FC789E" w:rsidP="00FC789E">
      <w:pPr>
        <w:widowControl w:val="0"/>
        <w:tabs>
          <w:tab w:val="left" w:pos="1080"/>
        </w:tabs>
        <w:suppressAutoHyphens/>
        <w:jc w:val="both"/>
      </w:pPr>
    </w:p>
    <w:p w:rsidR="00FC789E" w:rsidRPr="00097E81" w:rsidRDefault="00FC789E" w:rsidP="00FC789E">
      <w:pPr>
        <w:widowControl w:val="0"/>
        <w:numPr>
          <w:ilvl w:val="0"/>
          <w:numId w:val="5"/>
        </w:numPr>
        <w:tabs>
          <w:tab w:val="left" w:pos="1080"/>
        </w:tabs>
        <w:suppressAutoHyphens/>
        <w:jc w:val="both"/>
      </w:pPr>
      <w:r w:rsidRPr="00097E81">
        <w:lastRenderedPageBreak/>
        <w:t>On 30 November 2009, the Panel communicated the case to the Special Representative of the Secretary-General (SRSG)</w:t>
      </w:r>
      <w:r w:rsidRPr="00097E81">
        <w:rPr>
          <w:rStyle w:val="FootnoteReference"/>
          <w:lang w:val="en-GB"/>
        </w:rPr>
        <w:footnoteReference w:id="1"/>
      </w:r>
      <w:r w:rsidRPr="00097E81">
        <w:t>, for UNMIK’s comments on the admissibility and the merits of the case. On 1 June 2010, UNMIK provided its response.</w:t>
      </w:r>
    </w:p>
    <w:p w:rsidR="00FC789E" w:rsidRPr="00097E81" w:rsidRDefault="00FC789E" w:rsidP="00FC789E">
      <w:pPr>
        <w:widowControl w:val="0"/>
        <w:tabs>
          <w:tab w:val="left" w:pos="1080"/>
        </w:tabs>
        <w:suppressAutoHyphens/>
        <w:jc w:val="both"/>
      </w:pPr>
    </w:p>
    <w:p w:rsidR="00FC789E" w:rsidRPr="00097E81" w:rsidRDefault="00FC789E" w:rsidP="00FC789E">
      <w:pPr>
        <w:widowControl w:val="0"/>
        <w:numPr>
          <w:ilvl w:val="0"/>
          <w:numId w:val="5"/>
        </w:numPr>
        <w:tabs>
          <w:tab w:val="left" w:pos="1080"/>
        </w:tabs>
        <w:suppressAutoHyphens/>
        <w:jc w:val="both"/>
      </w:pPr>
      <w:r w:rsidRPr="00097E81">
        <w:t xml:space="preserve">On 14 July 2010, </w:t>
      </w:r>
      <w:r w:rsidRPr="00097E81">
        <w:rPr>
          <w:lang w:val="en-GB"/>
        </w:rPr>
        <w:t>the Panel forwarded UNMIK’s response to the complainant inviting her to submit further comments if she so wished</w:t>
      </w:r>
      <w:r w:rsidRPr="00097E81">
        <w:t xml:space="preserve">. The complainant did not avail herself of that opportunity. </w:t>
      </w:r>
    </w:p>
    <w:p w:rsidR="00FC789E" w:rsidRPr="00097E81" w:rsidRDefault="00FC789E" w:rsidP="00FC789E">
      <w:pPr>
        <w:widowControl w:val="0"/>
        <w:tabs>
          <w:tab w:val="left" w:pos="1080"/>
        </w:tabs>
        <w:suppressAutoHyphens/>
        <w:jc w:val="both"/>
      </w:pPr>
    </w:p>
    <w:p w:rsidR="00FC789E" w:rsidRPr="00097E81" w:rsidRDefault="00FC789E" w:rsidP="00FC789E">
      <w:pPr>
        <w:widowControl w:val="0"/>
        <w:numPr>
          <w:ilvl w:val="0"/>
          <w:numId w:val="5"/>
        </w:numPr>
        <w:tabs>
          <w:tab w:val="left" w:pos="1080"/>
        </w:tabs>
        <w:suppressAutoHyphens/>
        <w:jc w:val="both"/>
        <w:rPr>
          <w:lang w:val="en-GB"/>
        </w:rPr>
      </w:pPr>
      <w:r w:rsidRPr="00097E81">
        <w:t xml:space="preserve">On 13 April 2011, the Panel declared the complaint admissible. </w:t>
      </w:r>
      <w:r w:rsidRPr="00097E81">
        <w:rPr>
          <w:lang w:val="en-GB"/>
        </w:rPr>
        <w:t xml:space="preserve">On </w:t>
      </w:r>
      <w:r w:rsidRPr="00097E81">
        <w:t xml:space="preserve">18 April 2011, </w:t>
      </w:r>
      <w:r w:rsidRPr="00097E81">
        <w:rPr>
          <w:lang w:val="en-GB"/>
        </w:rPr>
        <w:t xml:space="preserve">the Panel forwarded its decision to the SRSG requesting UNMIK’s comments on the merits of the complaint. </w:t>
      </w:r>
    </w:p>
    <w:p w:rsidR="00FC789E" w:rsidRPr="00097E81" w:rsidRDefault="00FC789E" w:rsidP="00FC789E">
      <w:pPr>
        <w:widowControl w:val="0"/>
        <w:tabs>
          <w:tab w:val="left" w:pos="1080"/>
        </w:tabs>
        <w:suppressAutoHyphens/>
        <w:jc w:val="both"/>
      </w:pPr>
    </w:p>
    <w:p w:rsidR="00FC789E" w:rsidRPr="00097E81" w:rsidRDefault="00FC789E" w:rsidP="00FC789E">
      <w:pPr>
        <w:widowControl w:val="0"/>
        <w:numPr>
          <w:ilvl w:val="0"/>
          <w:numId w:val="5"/>
        </w:numPr>
        <w:tabs>
          <w:tab w:val="left" w:pos="1080"/>
        </w:tabs>
        <w:suppressAutoHyphens/>
        <w:jc w:val="both"/>
      </w:pPr>
      <w:r w:rsidRPr="00097E81">
        <w:rPr>
          <w:lang w:val="en-GB"/>
        </w:rPr>
        <w:t xml:space="preserve">On </w:t>
      </w:r>
      <w:r w:rsidRPr="00097E81">
        <w:t>5 August 2011</w:t>
      </w:r>
      <w:r w:rsidRPr="00097E81">
        <w:rPr>
          <w:lang w:val="en-GB"/>
        </w:rPr>
        <w:t>, the SRSG provided UNMIK’s comments. On the same date, the Panel was provided with copies of the documents used in preparation of those comments.</w:t>
      </w:r>
    </w:p>
    <w:p w:rsidR="00FC789E" w:rsidRPr="00097E81" w:rsidRDefault="00FC789E" w:rsidP="00FC789E">
      <w:pPr>
        <w:pStyle w:val="MediumGrid1-Accent21"/>
      </w:pPr>
    </w:p>
    <w:p w:rsidR="00FC789E" w:rsidRPr="00097E81" w:rsidRDefault="00FC789E" w:rsidP="00FC789E">
      <w:pPr>
        <w:widowControl w:val="0"/>
        <w:numPr>
          <w:ilvl w:val="0"/>
          <w:numId w:val="5"/>
        </w:numPr>
        <w:tabs>
          <w:tab w:val="left" w:pos="1080"/>
        </w:tabs>
        <w:suppressAutoHyphens/>
        <w:jc w:val="both"/>
        <w:rPr>
          <w:lang w:val="en-GB"/>
        </w:rPr>
      </w:pPr>
      <w:r w:rsidRPr="00097E81">
        <w:rPr>
          <w:lang w:val="en-GB"/>
        </w:rPr>
        <w:t>On 12 October 2011, at the Panel’s request, the complainant provided additional comments.</w:t>
      </w:r>
    </w:p>
    <w:p w:rsidR="00FC789E" w:rsidRPr="00097E81" w:rsidRDefault="00FC789E" w:rsidP="00FC789E">
      <w:pPr>
        <w:pStyle w:val="MediumGrid1-Accent21"/>
      </w:pPr>
    </w:p>
    <w:p w:rsidR="00FC789E" w:rsidRPr="00097E81" w:rsidRDefault="00FC789E" w:rsidP="00FC789E">
      <w:pPr>
        <w:pStyle w:val="Default"/>
        <w:widowControl w:val="0"/>
        <w:numPr>
          <w:ilvl w:val="0"/>
          <w:numId w:val="5"/>
        </w:numPr>
        <w:tabs>
          <w:tab w:val="left" w:pos="1080"/>
        </w:tabs>
        <w:suppressAutoHyphens/>
        <w:jc w:val="both"/>
      </w:pPr>
      <w:r w:rsidRPr="00097E81">
        <w:rPr>
          <w:lang w:val="en-GB"/>
        </w:rPr>
        <w:t>On 15 January 2013, at the Panel’s request, UNMIK confirmed that the disclosure of files concerning the case could be considered final.</w:t>
      </w:r>
    </w:p>
    <w:p w:rsidR="00FC789E" w:rsidRPr="00097E81" w:rsidRDefault="00FC789E" w:rsidP="00FC789E">
      <w:pPr>
        <w:widowControl w:val="0"/>
        <w:tabs>
          <w:tab w:val="left" w:pos="1080"/>
        </w:tabs>
        <w:suppressAutoHyphens/>
        <w:jc w:val="both"/>
      </w:pPr>
    </w:p>
    <w:p w:rsidR="00FC789E" w:rsidRPr="00097E81" w:rsidRDefault="00FC789E" w:rsidP="00FC789E">
      <w:pPr>
        <w:autoSpaceDE w:val="0"/>
        <w:jc w:val="both"/>
        <w:rPr>
          <w:b/>
          <w:bCs/>
          <w:lang w:val="en-GB"/>
        </w:rPr>
      </w:pPr>
    </w:p>
    <w:p w:rsidR="00FC789E" w:rsidRPr="00097E81" w:rsidRDefault="00FC789E" w:rsidP="00FC789E">
      <w:pPr>
        <w:numPr>
          <w:ilvl w:val="0"/>
          <w:numId w:val="2"/>
        </w:numPr>
        <w:suppressAutoHyphens/>
        <w:autoSpaceDE w:val="0"/>
        <w:ind w:left="360" w:hanging="360"/>
        <w:jc w:val="both"/>
        <w:rPr>
          <w:b/>
          <w:bCs/>
          <w:lang w:val="en-GB"/>
        </w:rPr>
      </w:pPr>
      <w:r w:rsidRPr="00097E81">
        <w:rPr>
          <w:b/>
          <w:bCs/>
          <w:lang w:val="en-GB"/>
        </w:rPr>
        <w:t>THE FACTS</w:t>
      </w:r>
    </w:p>
    <w:p w:rsidR="00FC789E" w:rsidRPr="00097E81" w:rsidRDefault="00FC789E" w:rsidP="00FC789E">
      <w:pPr>
        <w:autoSpaceDE w:val="0"/>
        <w:jc w:val="both"/>
        <w:rPr>
          <w:b/>
          <w:bCs/>
          <w:lang w:val="en-GB"/>
        </w:rPr>
      </w:pPr>
    </w:p>
    <w:p w:rsidR="00FC789E" w:rsidRPr="00097E81" w:rsidRDefault="00FC789E" w:rsidP="00FC789E">
      <w:pPr>
        <w:numPr>
          <w:ilvl w:val="0"/>
          <w:numId w:val="14"/>
        </w:numPr>
        <w:contextualSpacing/>
        <w:jc w:val="both"/>
        <w:rPr>
          <w:b/>
          <w:lang w:val="en-GB"/>
        </w:rPr>
      </w:pPr>
      <w:r w:rsidRPr="00097E81">
        <w:rPr>
          <w:b/>
          <w:lang w:val="en-GB"/>
        </w:rPr>
        <w:t>General background</w:t>
      </w:r>
      <w:r w:rsidRPr="00097E81">
        <w:rPr>
          <w:rStyle w:val="FootnoteReference"/>
          <w:b/>
          <w:lang w:val="en-GB"/>
        </w:rPr>
        <w:footnoteReference w:id="2"/>
      </w:r>
      <w:r w:rsidRPr="00097E81">
        <w:rPr>
          <w:b/>
          <w:lang w:val="en-GB"/>
        </w:rPr>
        <w:t xml:space="preserve"> </w:t>
      </w:r>
    </w:p>
    <w:p w:rsidR="00FC789E" w:rsidRPr="00097E81" w:rsidRDefault="00FC789E" w:rsidP="00FC789E">
      <w:pPr>
        <w:ind w:left="360"/>
        <w:contextualSpacing/>
        <w:jc w:val="both"/>
        <w:rPr>
          <w:b/>
          <w:lang w:val="en-GB"/>
        </w:rPr>
      </w:pPr>
    </w:p>
    <w:p w:rsidR="00FC789E" w:rsidRPr="00097E81" w:rsidRDefault="00FC789E" w:rsidP="00FC789E">
      <w:pPr>
        <w:widowControl w:val="0"/>
        <w:numPr>
          <w:ilvl w:val="0"/>
          <w:numId w:val="5"/>
        </w:numPr>
        <w:tabs>
          <w:tab w:val="left" w:pos="1080"/>
        </w:tabs>
        <w:suppressAutoHyphens/>
        <w:jc w:val="both"/>
        <w:rPr>
          <w:lang w:val="en-GB"/>
        </w:rPr>
      </w:pPr>
      <w:r w:rsidRPr="00097E81">
        <w:rPr>
          <w:lang w:val="en-GB"/>
        </w:rPr>
        <w:t xml:space="preserve">The events at issue took place in the territory of Kosovo after the establishment of the United Nations Interim Administration Mission in Kosovo (UNMIK), in June 1999. </w:t>
      </w:r>
    </w:p>
    <w:p w:rsidR="00FC789E" w:rsidRPr="00097E81" w:rsidRDefault="00FC789E" w:rsidP="00FC789E">
      <w:pPr>
        <w:ind w:left="360"/>
        <w:jc w:val="both"/>
        <w:rPr>
          <w:lang w:val="en-GB"/>
        </w:rPr>
      </w:pPr>
    </w:p>
    <w:p w:rsidR="00FC789E" w:rsidRPr="00097E81" w:rsidRDefault="00FC789E" w:rsidP="00FC789E">
      <w:pPr>
        <w:widowControl w:val="0"/>
        <w:numPr>
          <w:ilvl w:val="0"/>
          <w:numId w:val="5"/>
        </w:numPr>
        <w:tabs>
          <w:tab w:val="left" w:pos="1080"/>
        </w:tabs>
        <w:suppressAutoHyphens/>
        <w:jc w:val="both"/>
        <w:rPr>
          <w:lang w:val="en-GB"/>
        </w:rPr>
      </w:pPr>
      <w:r w:rsidRPr="00097E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FC789E" w:rsidRPr="00097E81" w:rsidRDefault="00FC789E" w:rsidP="00FC789E">
      <w:pPr>
        <w:ind w:left="360"/>
        <w:jc w:val="both"/>
        <w:rPr>
          <w:lang w:val="en-GB"/>
        </w:rPr>
      </w:pPr>
    </w:p>
    <w:p w:rsidR="00FC789E" w:rsidRPr="00097E81" w:rsidRDefault="00FC789E" w:rsidP="00FC789E">
      <w:pPr>
        <w:pStyle w:val="MediumGrid1-Accent21"/>
        <w:numPr>
          <w:ilvl w:val="0"/>
          <w:numId w:val="5"/>
        </w:numPr>
        <w:suppressAutoHyphens w:val="0"/>
        <w:contextualSpacing/>
        <w:jc w:val="both"/>
        <w:rPr>
          <w:lang w:val="en-GB"/>
        </w:rPr>
      </w:pPr>
      <w:r w:rsidRPr="00097E81">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Special Representative of the Secretary-General (SRSG). UN Security Council Resolution 1244 (1999) mandated UNMIK to “promote and protect human rights” in Kosovo in accordance with internationally recognised human rights standards.</w:t>
      </w:r>
    </w:p>
    <w:p w:rsidR="00FC789E" w:rsidRPr="00097E81" w:rsidRDefault="00FC789E" w:rsidP="00FC789E">
      <w:pPr>
        <w:ind w:left="360"/>
        <w:jc w:val="both"/>
        <w:rPr>
          <w:lang w:val="en-GB"/>
        </w:rPr>
      </w:pPr>
    </w:p>
    <w:p w:rsidR="00FC789E" w:rsidRPr="00097E81" w:rsidRDefault="00FC789E" w:rsidP="00FC789E">
      <w:pPr>
        <w:pStyle w:val="MediumGrid1-Accent21"/>
        <w:numPr>
          <w:ilvl w:val="0"/>
          <w:numId w:val="5"/>
        </w:numPr>
        <w:suppressAutoHyphens w:val="0"/>
        <w:contextualSpacing/>
        <w:jc w:val="both"/>
        <w:rPr>
          <w:lang w:val="en-GB"/>
        </w:rPr>
      </w:pPr>
      <w:r w:rsidRPr="00097E81">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FC789E" w:rsidRPr="00097E81" w:rsidRDefault="00FC789E" w:rsidP="00FC789E">
      <w:pPr>
        <w:pStyle w:val="MediumGrid1-Accent21"/>
        <w:rPr>
          <w:lang w:val="en-GB"/>
        </w:rPr>
      </w:pPr>
    </w:p>
    <w:p w:rsidR="00FC789E" w:rsidRPr="00097E81" w:rsidRDefault="00FC789E" w:rsidP="00FC789E">
      <w:pPr>
        <w:pStyle w:val="MediumGrid1-Accent21"/>
        <w:numPr>
          <w:ilvl w:val="0"/>
          <w:numId w:val="5"/>
        </w:numPr>
        <w:suppressAutoHyphens w:val="0"/>
        <w:contextualSpacing/>
        <w:jc w:val="both"/>
        <w:rPr>
          <w:lang w:val="en-GB"/>
        </w:rPr>
      </w:pPr>
      <w:r w:rsidRPr="00097E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FC789E" w:rsidRPr="00097E81" w:rsidRDefault="00FC789E" w:rsidP="00FC789E">
      <w:pPr>
        <w:pStyle w:val="MediumGrid1-Accent21"/>
        <w:rPr>
          <w:lang w:val="en-GB"/>
        </w:rPr>
      </w:pPr>
    </w:p>
    <w:p w:rsidR="00FC789E" w:rsidRPr="00097E81" w:rsidRDefault="00FC789E" w:rsidP="00FC789E">
      <w:pPr>
        <w:pStyle w:val="MediumGrid1-Accent21"/>
        <w:numPr>
          <w:ilvl w:val="0"/>
          <w:numId w:val="5"/>
        </w:numPr>
        <w:suppressAutoHyphens w:val="0"/>
        <w:contextualSpacing/>
        <w:jc w:val="both"/>
        <w:rPr>
          <w:lang w:val="en-GB"/>
        </w:rPr>
      </w:pPr>
      <w:r w:rsidRPr="00097E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ICRC as of October 2012.</w:t>
      </w:r>
    </w:p>
    <w:p w:rsidR="00FC789E" w:rsidRPr="00097E81" w:rsidRDefault="00FC789E" w:rsidP="00FC789E">
      <w:pPr>
        <w:ind w:left="360"/>
        <w:jc w:val="both"/>
        <w:rPr>
          <w:lang w:val="en-GB"/>
        </w:rPr>
      </w:pPr>
    </w:p>
    <w:p w:rsidR="00FC789E" w:rsidRPr="00097E81" w:rsidRDefault="00FC789E" w:rsidP="00FC789E">
      <w:pPr>
        <w:numPr>
          <w:ilvl w:val="0"/>
          <w:numId w:val="5"/>
        </w:numPr>
        <w:tabs>
          <w:tab w:val="left" w:pos="360"/>
          <w:tab w:val="num" w:pos="630"/>
        </w:tabs>
        <w:jc w:val="both"/>
        <w:rPr>
          <w:lang w:val="en-GB"/>
        </w:rPr>
      </w:pPr>
      <w:r w:rsidRPr="00097E81">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Pr="00097E81">
        <w:t xml:space="preserve"> By September 1999, approximately 1,100 international police officers had been deployed to UNMIK.  </w:t>
      </w:r>
    </w:p>
    <w:p w:rsidR="00FC789E" w:rsidRPr="00097E81" w:rsidRDefault="00FC789E" w:rsidP="00FC789E">
      <w:pPr>
        <w:pStyle w:val="MediumGrid1-Accent21"/>
        <w:rPr>
          <w:lang w:val="en-GB"/>
        </w:rPr>
      </w:pPr>
    </w:p>
    <w:p w:rsidR="00FC789E" w:rsidRPr="00097E81" w:rsidRDefault="00FC789E" w:rsidP="00FC789E">
      <w:pPr>
        <w:numPr>
          <w:ilvl w:val="0"/>
          <w:numId w:val="5"/>
        </w:numPr>
        <w:jc w:val="both"/>
        <w:rPr>
          <w:lang w:val="en-GB"/>
        </w:rPr>
      </w:pPr>
      <w:bookmarkStart w:id="0" w:name="_Ref346725038"/>
      <w:r w:rsidRPr="00097E81">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w:t>
      </w:r>
      <w:r w:rsidR="00295279" w:rsidRPr="00097E81">
        <w:rPr>
          <w:lang w:val="en-GB"/>
        </w:rPr>
        <w:t>2000</w:t>
      </w:r>
      <w:r w:rsidRPr="00097E81">
        <w:rPr>
          <w:lang w:val="en-GB"/>
        </w:rPr>
        <w:t xml:space="preserve"> Annual Report of UNMIK Police, 351 kidnappings, 675 murders and 115 rapes had been reported to them in the period between June 1999 and December 2000.</w:t>
      </w:r>
      <w:bookmarkEnd w:id="0"/>
      <w:r w:rsidRPr="00097E81">
        <w:rPr>
          <w:lang w:val="en-GB"/>
        </w:rPr>
        <w:t xml:space="preserve"> </w:t>
      </w:r>
    </w:p>
    <w:p w:rsidR="00FC789E" w:rsidRPr="00097E81" w:rsidRDefault="00FC789E" w:rsidP="00FC789E">
      <w:pPr>
        <w:jc w:val="both"/>
        <w:rPr>
          <w:lang w:val="en-GB"/>
        </w:rPr>
      </w:pPr>
    </w:p>
    <w:p w:rsidR="00FC789E" w:rsidRPr="00097E81" w:rsidRDefault="00FC789E" w:rsidP="00FC789E">
      <w:pPr>
        <w:numPr>
          <w:ilvl w:val="0"/>
          <w:numId w:val="5"/>
        </w:numPr>
        <w:jc w:val="both"/>
        <w:rPr>
          <w:lang w:val="en-GB"/>
        </w:rPr>
      </w:pPr>
      <w:bookmarkStart w:id="1" w:name="_Ref346123767"/>
      <w:r w:rsidRPr="00097E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Pr="00097E81">
        <w:rPr>
          <w:lang w:val="en-GB"/>
        </w:rPr>
        <w:t xml:space="preserve"> </w:t>
      </w:r>
    </w:p>
    <w:p w:rsidR="00FC789E" w:rsidRPr="00097E81" w:rsidRDefault="00FC789E" w:rsidP="00FC789E">
      <w:pPr>
        <w:jc w:val="both"/>
        <w:rPr>
          <w:lang w:val="en-GB"/>
        </w:rPr>
      </w:pPr>
    </w:p>
    <w:p w:rsidR="00FC789E" w:rsidRPr="00097E81" w:rsidRDefault="00FC789E" w:rsidP="00FC789E">
      <w:pPr>
        <w:numPr>
          <w:ilvl w:val="0"/>
          <w:numId w:val="5"/>
        </w:numPr>
        <w:jc w:val="both"/>
        <w:rPr>
          <w:lang w:val="en-GB"/>
        </w:rPr>
      </w:pPr>
      <w:bookmarkStart w:id="2" w:name="_Ref346725040"/>
      <w:r w:rsidRPr="00097E81">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2"/>
      <w:r w:rsidRPr="00097E81">
        <w:rPr>
          <w:lang w:val="en-GB"/>
        </w:rPr>
        <w:t xml:space="preserve"> </w:t>
      </w:r>
    </w:p>
    <w:p w:rsidR="00FC789E" w:rsidRPr="00097E81" w:rsidRDefault="00FC789E" w:rsidP="00FC789E">
      <w:pPr>
        <w:ind w:left="360"/>
        <w:jc w:val="both"/>
        <w:rPr>
          <w:lang w:val="en-GB"/>
        </w:rPr>
      </w:pPr>
    </w:p>
    <w:p w:rsidR="00FC789E" w:rsidRPr="00097E81" w:rsidRDefault="00FC789E" w:rsidP="00FC789E">
      <w:pPr>
        <w:numPr>
          <w:ilvl w:val="0"/>
          <w:numId w:val="5"/>
        </w:numPr>
        <w:jc w:val="both"/>
        <w:rPr>
          <w:lang w:val="en-GB"/>
        </w:rPr>
      </w:pPr>
      <w:bookmarkStart w:id="3" w:name="_Ref346123927"/>
      <w:r w:rsidRPr="00097E8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3"/>
    </w:p>
    <w:p w:rsidR="00FC789E" w:rsidRPr="00097E81" w:rsidRDefault="00FC789E" w:rsidP="00FC789E">
      <w:pPr>
        <w:pStyle w:val="MediumGrid1-Accent21"/>
        <w:rPr>
          <w:lang w:val="en-GB"/>
        </w:rPr>
      </w:pPr>
    </w:p>
    <w:p w:rsidR="00FC789E" w:rsidRPr="00097E81" w:rsidRDefault="00FC789E" w:rsidP="00FC789E">
      <w:pPr>
        <w:numPr>
          <w:ilvl w:val="0"/>
          <w:numId w:val="5"/>
        </w:numPr>
        <w:jc w:val="both"/>
        <w:rPr>
          <w:lang w:val="en-GB"/>
        </w:rPr>
      </w:pPr>
      <w:bookmarkStart w:id="4" w:name="_Ref346123928"/>
      <w:r w:rsidRPr="00097E81">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FC789E" w:rsidRPr="00097E81" w:rsidRDefault="00FC789E" w:rsidP="00FC789E">
      <w:pPr>
        <w:autoSpaceDE w:val="0"/>
        <w:jc w:val="both"/>
        <w:rPr>
          <w:b/>
          <w:bCs/>
          <w:lang w:val="en-GB"/>
        </w:rPr>
      </w:pPr>
    </w:p>
    <w:p w:rsidR="00FC789E" w:rsidRPr="00097E81" w:rsidRDefault="00FC789E" w:rsidP="00FC789E">
      <w:pPr>
        <w:numPr>
          <w:ilvl w:val="0"/>
          <w:numId w:val="14"/>
        </w:numPr>
        <w:contextualSpacing/>
        <w:jc w:val="both"/>
        <w:rPr>
          <w:b/>
        </w:rPr>
      </w:pPr>
      <w:r w:rsidRPr="00097E81">
        <w:rPr>
          <w:b/>
        </w:rPr>
        <w:t xml:space="preserve">Circumstances surrounding the abduction of Mr </w:t>
      </w:r>
      <w:r w:rsidRPr="00097E81">
        <w:rPr>
          <w:b/>
          <w:bCs/>
          <w:lang w:val="en-GB"/>
        </w:rPr>
        <w:t>Dušan Jočić</w:t>
      </w:r>
    </w:p>
    <w:p w:rsidR="00FC789E" w:rsidRPr="00097E81" w:rsidRDefault="00FC789E" w:rsidP="00FC789E">
      <w:pPr>
        <w:suppressAutoHyphens/>
        <w:autoSpaceDE w:val="0"/>
        <w:ind w:left="360"/>
        <w:jc w:val="both"/>
        <w:rPr>
          <w:bCs/>
        </w:rPr>
      </w:pPr>
    </w:p>
    <w:p w:rsidR="00FC789E" w:rsidRPr="00097E81" w:rsidRDefault="00FC789E" w:rsidP="00FC789E">
      <w:pPr>
        <w:pStyle w:val="Default"/>
        <w:numPr>
          <w:ilvl w:val="0"/>
          <w:numId w:val="5"/>
        </w:numPr>
        <w:tabs>
          <w:tab w:val="left" w:pos="360"/>
        </w:tabs>
        <w:jc w:val="both"/>
      </w:pPr>
      <w:r w:rsidRPr="00097E81">
        <w:rPr>
          <w:bCs/>
          <w:lang w:val="en-GB"/>
        </w:rPr>
        <w:t>The complainant is the mother of Dušan Jočić. She states that on 18 June 1999, in Pejë/Peć town, her son and his friends were approached by persons wearing uniforms of the Italian Army who invited them to go with them to a military base, to seek employment with the Italian KFOR. A group of four friends, including Mr Jočić, responded to this invitation. Apparently, at that location, they were detained by members of the Kosovo Liberation Army (KLA).</w:t>
      </w:r>
    </w:p>
    <w:p w:rsidR="00FC789E" w:rsidRPr="00097E81" w:rsidRDefault="00FC789E" w:rsidP="00FC789E">
      <w:pPr>
        <w:pStyle w:val="Default"/>
        <w:ind w:left="360"/>
        <w:jc w:val="both"/>
      </w:pPr>
    </w:p>
    <w:p w:rsidR="00FC789E" w:rsidRPr="00097E81" w:rsidRDefault="00FC789E" w:rsidP="00FC789E">
      <w:pPr>
        <w:numPr>
          <w:ilvl w:val="0"/>
          <w:numId w:val="5"/>
        </w:numPr>
        <w:suppressAutoHyphens/>
        <w:autoSpaceDE w:val="0"/>
        <w:jc w:val="both"/>
        <w:rPr>
          <w:bCs/>
          <w:lang w:val="en-GB"/>
        </w:rPr>
      </w:pPr>
      <w:bookmarkStart w:id="5" w:name="_Ref348365376"/>
      <w:r w:rsidRPr="00097E81">
        <w:rPr>
          <w:bCs/>
          <w:lang w:val="en-GB"/>
        </w:rPr>
        <w:t>The complainant states that she immediately reported the matter to the Italian KFOR and the ICRC, as well as to “the army”, police and various civic organisations in Serbia proper. However, she is not aware of any action to find her son.</w:t>
      </w:r>
      <w:bookmarkEnd w:id="5"/>
    </w:p>
    <w:p w:rsidR="00FC789E" w:rsidRPr="00097E81" w:rsidRDefault="00FC789E" w:rsidP="00FC789E">
      <w:pPr>
        <w:pStyle w:val="MediumGrid1-Accent21"/>
        <w:rPr>
          <w:bCs/>
          <w:lang w:val="en-GB"/>
        </w:rPr>
      </w:pPr>
    </w:p>
    <w:p w:rsidR="00FC789E" w:rsidRPr="00097E81" w:rsidRDefault="00FC789E" w:rsidP="00FC789E">
      <w:pPr>
        <w:numPr>
          <w:ilvl w:val="0"/>
          <w:numId w:val="5"/>
        </w:numPr>
        <w:suppressAutoHyphens/>
        <w:autoSpaceDE w:val="0"/>
        <w:jc w:val="both"/>
        <w:rPr>
          <w:bCs/>
          <w:lang w:val="en-GB"/>
        </w:rPr>
      </w:pPr>
      <w:bookmarkStart w:id="6" w:name="_Ref347221447"/>
      <w:r w:rsidRPr="00097E81">
        <w:rPr>
          <w:bCs/>
          <w:lang w:val="en-GB"/>
        </w:rPr>
        <w:t>She submitted to the Panel an undated criminal report addressed to the International Public Prosecutor’s Office of Pejë/Peć, filed by her husband, which brings charges against unknown persons and provides the names of two witnesses.</w:t>
      </w:r>
      <w:bookmarkEnd w:id="6"/>
    </w:p>
    <w:p w:rsidR="00FC789E" w:rsidRPr="00097E81" w:rsidRDefault="00FC789E" w:rsidP="00FC789E">
      <w:pPr>
        <w:pStyle w:val="MediumGrid1-Accent21"/>
        <w:rPr>
          <w:bCs/>
          <w:lang w:val="en-GB"/>
        </w:rPr>
      </w:pPr>
    </w:p>
    <w:p w:rsidR="00FC789E" w:rsidRPr="00097E81" w:rsidRDefault="00FC789E" w:rsidP="00FC789E">
      <w:pPr>
        <w:pStyle w:val="Default"/>
        <w:widowControl w:val="0"/>
        <w:numPr>
          <w:ilvl w:val="0"/>
          <w:numId w:val="5"/>
        </w:numPr>
        <w:tabs>
          <w:tab w:val="left" w:pos="360"/>
          <w:tab w:val="num" w:pos="630"/>
          <w:tab w:val="left" w:pos="1080"/>
        </w:tabs>
        <w:suppressAutoHyphens/>
        <w:jc w:val="both"/>
      </w:pPr>
      <w:r w:rsidRPr="00097E81">
        <w:t xml:space="preserve">The ICRC tracing request for </w:t>
      </w:r>
      <w:r w:rsidRPr="00097E81">
        <w:rPr>
          <w:bCs/>
          <w:lang w:val="en-GB"/>
        </w:rPr>
        <w:t>Dušan Jočić was opened on 14 July 1999. The tracing request</w:t>
      </w:r>
      <w:r w:rsidR="00E57085" w:rsidRPr="00097E81">
        <w:rPr>
          <w:bCs/>
          <w:lang w:val="en-GB"/>
        </w:rPr>
        <w:t xml:space="preserve"> </w:t>
      </w:r>
      <w:r w:rsidRPr="00097E81">
        <w:rPr>
          <w:bCs/>
          <w:lang w:val="en-GB"/>
        </w:rPr>
        <w:t>of the Red Cross of Serbia confirms that as of 5 May 2009 he was still registered as a missing person.</w:t>
      </w:r>
    </w:p>
    <w:p w:rsidR="00FC789E" w:rsidRPr="00097E81" w:rsidRDefault="00FC789E" w:rsidP="00FC789E">
      <w:pPr>
        <w:pStyle w:val="MediumGrid1-Accent21"/>
      </w:pPr>
    </w:p>
    <w:p w:rsidR="00FC789E" w:rsidRPr="00097E81" w:rsidRDefault="00FC789E" w:rsidP="00FC789E">
      <w:pPr>
        <w:pStyle w:val="Default"/>
        <w:numPr>
          <w:ilvl w:val="0"/>
          <w:numId w:val="5"/>
        </w:numPr>
        <w:tabs>
          <w:tab w:val="left" w:pos="360"/>
        </w:tabs>
        <w:suppressAutoHyphens/>
        <w:jc w:val="both"/>
        <w:rPr>
          <w:lang w:val="en-GB"/>
        </w:rPr>
      </w:pPr>
      <w:bookmarkStart w:id="7" w:name="_Ref348358601"/>
      <w:r w:rsidRPr="00097E81">
        <w:t>By the time the complainant submitted her complaint to the Panel, she still did not have any information about the fate of her son.</w:t>
      </w:r>
      <w:bookmarkEnd w:id="7"/>
    </w:p>
    <w:p w:rsidR="00FC789E" w:rsidRPr="00097E81" w:rsidRDefault="00FC789E" w:rsidP="00FC789E">
      <w:pPr>
        <w:pStyle w:val="MediumGrid1-Accent21"/>
        <w:rPr>
          <w:lang w:val="en-GB"/>
        </w:rPr>
      </w:pPr>
    </w:p>
    <w:p w:rsidR="00FC789E" w:rsidRPr="00097E81" w:rsidRDefault="00FC789E" w:rsidP="00FC789E">
      <w:pPr>
        <w:pStyle w:val="Default"/>
        <w:widowControl w:val="0"/>
        <w:numPr>
          <w:ilvl w:val="0"/>
          <w:numId w:val="5"/>
        </w:numPr>
        <w:tabs>
          <w:tab w:val="left" w:pos="360"/>
          <w:tab w:val="num" w:pos="630"/>
          <w:tab w:val="left" w:pos="1080"/>
        </w:tabs>
        <w:suppressAutoHyphens/>
        <w:jc w:val="both"/>
        <w:rPr>
          <w:bCs/>
          <w:lang w:val="en-GB"/>
        </w:rPr>
      </w:pPr>
      <w:bookmarkStart w:id="8" w:name="_Ref354420794"/>
      <w:r w:rsidRPr="00097E81">
        <w:rPr>
          <w:bCs/>
          <w:lang w:val="en-GB"/>
        </w:rPr>
        <w:t xml:space="preserve">The name of Dušan Jočić appears </w:t>
      </w:r>
      <w:r w:rsidR="00113E6D" w:rsidRPr="00097E81">
        <w:rPr>
          <w:bCs/>
          <w:lang w:val="en-GB"/>
        </w:rPr>
        <w:t xml:space="preserve">in a list </w:t>
      </w:r>
      <w:r w:rsidR="00C71512" w:rsidRPr="00097E81">
        <w:rPr>
          <w:bCs/>
          <w:lang w:val="en-GB"/>
        </w:rPr>
        <w:t xml:space="preserve">dated </w:t>
      </w:r>
      <w:r w:rsidR="00C71512" w:rsidRPr="00097E81">
        <w:t xml:space="preserve">11 February 2002, presenting the names of </w:t>
      </w:r>
      <w:r w:rsidR="00113E6D" w:rsidRPr="00097E81">
        <w:rPr>
          <w:bCs/>
          <w:lang w:val="en-GB"/>
        </w:rPr>
        <w:t xml:space="preserve">missing persons, with regard to whom the </w:t>
      </w:r>
      <w:r w:rsidR="001947AB" w:rsidRPr="00097E81">
        <w:rPr>
          <w:bCs/>
          <w:lang w:val="en-GB"/>
        </w:rPr>
        <w:t>relevant a</w:t>
      </w:r>
      <w:r w:rsidR="00113E6D" w:rsidRPr="00097E81">
        <w:rPr>
          <w:bCs/>
          <w:lang w:val="en-GB"/>
        </w:rPr>
        <w:t xml:space="preserve">nte-mortem </w:t>
      </w:r>
      <w:r w:rsidR="001947AB" w:rsidRPr="00097E81">
        <w:rPr>
          <w:bCs/>
          <w:lang w:val="en-GB"/>
        </w:rPr>
        <w:t>data w</w:t>
      </w:r>
      <w:r w:rsidR="00C71512" w:rsidRPr="00097E81">
        <w:rPr>
          <w:bCs/>
          <w:lang w:val="en-GB"/>
        </w:rPr>
        <w:t>ere</w:t>
      </w:r>
      <w:r w:rsidR="001947AB" w:rsidRPr="00097E81">
        <w:rPr>
          <w:bCs/>
          <w:lang w:val="en-GB"/>
        </w:rPr>
        <w:t xml:space="preserve"> collected by the ICRC</w:t>
      </w:r>
      <w:r w:rsidR="00113E6D" w:rsidRPr="00097E81">
        <w:rPr>
          <w:bCs/>
          <w:lang w:val="en-GB"/>
        </w:rPr>
        <w:t xml:space="preserve"> </w:t>
      </w:r>
      <w:r w:rsidR="00C71512" w:rsidRPr="00097E81">
        <w:rPr>
          <w:bCs/>
          <w:lang w:val="en-GB"/>
        </w:rPr>
        <w:t xml:space="preserve">and </w:t>
      </w:r>
      <w:r w:rsidR="001947AB" w:rsidRPr="00097E81">
        <w:rPr>
          <w:bCs/>
          <w:lang w:val="en-GB"/>
        </w:rPr>
        <w:t>forwarded to UNMIK</w:t>
      </w:r>
      <w:r w:rsidR="00113E6D" w:rsidRPr="00097E81">
        <w:t xml:space="preserve">. </w:t>
      </w:r>
      <w:r w:rsidR="00C71512" w:rsidRPr="00097E81">
        <w:t xml:space="preserve">His name is </w:t>
      </w:r>
      <w:r w:rsidR="00113E6D" w:rsidRPr="00097E81">
        <w:t xml:space="preserve">also mentioned in </w:t>
      </w:r>
      <w:r w:rsidRPr="00097E81">
        <w:rPr>
          <w:bCs/>
          <w:lang w:val="en-GB"/>
        </w:rPr>
        <w:t>the database compiled by the UNMIK OMPF.</w:t>
      </w:r>
      <w:r w:rsidR="00C71512" w:rsidRPr="00097E81">
        <w:rPr>
          <w:bCs/>
          <w:lang w:val="en-GB"/>
        </w:rPr>
        <w:t xml:space="preserve"> </w:t>
      </w:r>
      <w:r w:rsidRPr="00097E81">
        <w:rPr>
          <w:bCs/>
          <w:lang w:val="en-GB"/>
        </w:rPr>
        <w:t>The entry in the online list of missing persons maintained by the ICMP</w:t>
      </w:r>
      <w:r w:rsidRPr="00097E81">
        <w:rPr>
          <w:rStyle w:val="FootnoteReference"/>
          <w:color w:val="464646"/>
        </w:rPr>
        <w:footnoteReference w:id="3"/>
      </w:r>
      <w:r w:rsidRPr="00097E81">
        <w:rPr>
          <w:bCs/>
          <w:lang w:val="en-GB"/>
        </w:rPr>
        <w:t xml:space="preserve"> in his regard reads, in relevant parts: “sufficient reference samples collected” and “ICMP has provided information on this missing person on 3-21-2007 to authorized institution. To obtain additional information, contact EULEX Kosovo Headquarters</w:t>
      </w:r>
      <w:r w:rsidRPr="00097E81">
        <w:rPr>
          <w:color w:val="464646"/>
        </w:rPr>
        <w:t>.”</w:t>
      </w:r>
      <w:bookmarkEnd w:id="8"/>
    </w:p>
    <w:p w:rsidR="00FC789E" w:rsidRPr="00097E81" w:rsidRDefault="00FC789E" w:rsidP="00FC789E">
      <w:pPr>
        <w:suppressAutoHyphens/>
        <w:autoSpaceDE w:val="0"/>
        <w:jc w:val="both"/>
        <w:rPr>
          <w:bCs/>
        </w:rPr>
      </w:pPr>
    </w:p>
    <w:p w:rsidR="008B53E9" w:rsidRPr="00097E81" w:rsidRDefault="008B53E9" w:rsidP="00FC789E">
      <w:pPr>
        <w:suppressAutoHyphens/>
        <w:autoSpaceDE w:val="0"/>
        <w:jc w:val="both"/>
        <w:rPr>
          <w:bCs/>
        </w:rPr>
      </w:pPr>
    </w:p>
    <w:p w:rsidR="00FC789E" w:rsidRPr="00097E81" w:rsidRDefault="00FC789E" w:rsidP="00FC789E">
      <w:pPr>
        <w:numPr>
          <w:ilvl w:val="0"/>
          <w:numId w:val="14"/>
        </w:numPr>
        <w:contextualSpacing/>
        <w:jc w:val="both"/>
        <w:rPr>
          <w:b/>
        </w:rPr>
      </w:pPr>
      <w:r w:rsidRPr="00097E81">
        <w:rPr>
          <w:b/>
        </w:rPr>
        <w:t xml:space="preserve">The investigation </w:t>
      </w:r>
    </w:p>
    <w:p w:rsidR="00FC789E" w:rsidRPr="00097E81" w:rsidRDefault="00FC789E" w:rsidP="00FC789E">
      <w:pPr>
        <w:pStyle w:val="MediumGrid1-Accent21"/>
        <w:rPr>
          <w:bCs/>
          <w:lang w:val="en-GB"/>
        </w:rPr>
      </w:pPr>
    </w:p>
    <w:p w:rsidR="00FC789E" w:rsidRPr="00097E81" w:rsidRDefault="00FC789E" w:rsidP="00FC789E">
      <w:pPr>
        <w:numPr>
          <w:ilvl w:val="0"/>
          <w:numId w:val="23"/>
        </w:numPr>
        <w:tabs>
          <w:tab w:val="left" w:pos="360"/>
        </w:tabs>
        <w:suppressAutoHyphens/>
        <w:autoSpaceDE w:val="0"/>
        <w:ind w:left="360"/>
        <w:jc w:val="both"/>
        <w:rPr>
          <w:bCs/>
          <w:i/>
          <w:lang w:val="en-GB"/>
        </w:rPr>
      </w:pPr>
      <w:r w:rsidRPr="00097E81">
        <w:rPr>
          <w:bCs/>
          <w:i/>
          <w:lang w:val="en-GB"/>
        </w:rPr>
        <w:t>Disclosure of relevant files</w:t>
      </w:r>
    </w:p>
    <w:p w:rsidR="00FC789E" w:rsidRPr="00097E81" w:rsidRDefault="00FC789E" w:rsidP="00FC789E">
      <w:pPr>
        <w:pStyle w:val="Default"/>
        <w:tabs>
          <w:tab w:val="left" w:pos="360"/>
        </w:tabs>
        <w:suppressAutoHyphens/>
        <w:ind w:left="360" w:hanging="360"/>
        <w:jc w:val="both"/>
        <w:rPr>
          <w:bCs/>
          <w:i/>
          <w:lang w:val="en-GB"/>
        </w:rPr>
      </w:pPr>
    </w:p>
    <w:p w:rsidR="00FC789E" w:rsidRPr="00097E81" w:rsidRDefault="00FC789E" w:rsidP="00FC789E">
      <w:pPr>
        <w:pStyle w:val="Default"/>
        <w:numPr>
          <w:ilvl w:val="0"/>
          <w:numId w:val="5"/>
        </w:numPr>
        <w:tabs>
          <w:tab w:val="left" w:pos="360"/>
        </w:tabs>
        <w:suppressAutoHyphens/>
        <w:jc w:val="both"/>
        <w:rPr>
          <w:bCs/>
          <w:lang w:val="en-GB"/>
        </w:rPr>
      </w:pPr>
      <w:bookmarkStart w:id="9" w:name="_Ref348357381"/>
      <w:r w:rsidRPr="00097E81">
        <w:rPr>
          <w:bCs/>
          <w:lang w:val="en-GB"/>
        </w:rPr>
        <w:t xml:space="preserve">On 5 August 2011, UNMIK presented to the Panel the documents </w:t>
      </w:r>
      <w:r w:rsidRPr="00097E81">
        <w:t xml:space="preserve">which were previously held by the OMPF and the UNMIK Police MPU and WCIU. However, UNMIK suggested to the Panel that it was possible that further </w:t>
      </w:r>
      <w:r w:rsidR="001F715B" w:rsidRPr="00097E81">
        <w:t xml:space="preserve">documents existed. </w:t>
      </w:r>
      <w:r w:rsidRPr="00097E81">
        <w:t>On 15 January 2013, UNMIK confirmed to the Panel that it had disclosed all the files in UNMIK’s possession relevant to the case.</w:t>
      </w:r>
      <w:bookmarkEnd w:id="9"/>
    </w:p>
    <w:p w:rsidR="00FC789E" w:rsidRDefault="00FC789E" w:rsidP="00FC789E">
      <w:pPr>
        <w:suppressAutoHyphens/>
        <w:autoSpaceDE w:val="0"/>
        <w:ind w:left="360"/>
        <w:jc w:val="both"/>
        <w:rPr>
          <w:bCs/>
          <w:lang w:val="en-GB"/>
        </w:rPr>
      </w:pPr>
    </w:p>
    <w:p w:rsidR="007D6B58" w:rsidRDefault="007D6B58" w:rsidP="00FC789E">
      <w:pPr>
        <w:suppressAutoHyphens/>
        <w:autoSpaceDE w:val="0"/>
        <w:ind w:left="360"/>
        <w:jc w:val="both"/>
        <w:rPr>
          <w:bCs/>
          <w:lang w:val="en-GB"/>
        </w:rPr>
      </w:pPr>
    </w:p>
    <w:p w:rsidR="00FC789E" w:rsidRPr="00097E81" w:rsidRDefault="00FC789E" w:rsidP="00FC789E">
      <w:pPr>
        <w:numPr>
          <w:ilvl w:val="0"/>
          <w:numId w:val="23"/>
        </w:numPr>
        <w:tabs>
          <w:tab w:val="left" w:pos="360"/>
        </w:tabs>
        <w:suppressAutoHyphens/>
        <w:autoSpaceDE w:val="0"/>
        <w:ind w:left="360"/>
        <w:jc w:val="both"/>
        <w:rPr>
          <w:bCs/>
          <w:i/>
          <w:lang w:val="en-GB"/>
        </w:rPr>
      </w:pPr>
      <w:r w:rsidRPr="00097E81">
        <w:rPr>
          <w:bCs/>
          <w:i/>
          <w:lang w:val="en-GB"/>
        </w:rPr>
        <w:t>Investigation with regard to the victim, identification and handover of his mortal remains</w:t>
      </w:r>
    </w:p>
    <w:p w:rsidR="00FC789E" w:rsidRPr="00097E81" w:rsidRDefault="00FC789E" w:rsidP="00FC789E">
      <w:pPr>
        <w:pStyle w:val="MediumGrid1-Accent21"/>
        <w:rPr>
          <w:bCs/>
          <w:lang w:val="en-GB"/>
        </w:rPr>
      </w:pPr>
    </w:p>
    <w:p w:rsidR="00FC789E" w:rsidRPr="00097E81" w:rsidRDefault="00FC789E" w:rsidP="00FC789E">
      <w:pPr>
        <w:numPr>
          <w:ilvl w:val="0"/>
          <w:numId w:val="5"/>
        </w:numPr>
        <w:suppressAutoHyphens/>
        <w:autoSpaceDE w:val="0"/>
        <w:jc w:val="both"/>
        <w:rPr>
          <w:bCs/>
          <w:lang w:val="en-GB"/>
        </w:rPr>
      </w:pPr>
      <w:r w:rsidRPr="00097E81">
        <w:rPr>
          <w:bCs/>
          <w:lang w:val="en-GB"/>
        </w:rPr>
        <w:t>Mortal remains, which were later identified as those of Dušan Jočić, were discovered on 16 July 2002 in Lubeniq/Ljubenić village, Pej</w:t>
      </w:r>
      <w:r w:rsidRPr="00097E81">
        <w:rPr>
          <w:bCs/>
          <w:lang w:val="ru-RU"/>
        </w:rPr>
        <w:t>ё</w:t>
      </w:r>
      <w:r w:rsidRPr="00097E81">
        <w:rPr>
          <w:bCs/>
        </w:rPr>
        <w:t xml:space="preserve">/Peć municipality. </w:t>
      </w:r>
      <w:r w:rsidRPr="00097E81">
        <w:rPr>
          <w:bCs/>
          <w:lang w:val="en-GB"/>
        </w:rPr>
        <w:t>An autopsy conducted on 26 November 2004 established that the death was caused by a “gunshot wound to the head.”</w:t>
      </w:r>
    </w:p>
    <w:p w:rsidR="00FC789E" w:rsidRPr="00097E81" w:rsidRDefault="00FC789E" w:rsidP="00FC789E">
      <w:pPr>
        <w:suppressAutoHyphens/>
        <w:autoSpaceDE w:val="0"/>
        <w:ind w:left="360"/>
        <w:jc w:val="both"/>
        <w:rPr>
          <w:bCs/>
          <w:lang w:val="en-GB"/>
        </w:rPr>
      </w:pPr>
    </w:p>
    <w:p w:rsidR="00FC789E" w:rsidRPr="00097E81" w:rsidRDefault="00FC789E" w:rsidP="00FC789E">
      <w:pPr>
        <w:numPr>
          <w:ilvl w:val="0"/>
          <w:numId w:val="5"/>
        </w:numPr>
        <w:suppressAutoHyphens/>
        <w:autoSpaceDE w:val="0"/>
        <w:jc w:val="both"/>
        <w:rPr>
          <w:bCs/>
          <w:lang w:val="en-GB"/>
        </w:rPr>
      </w:pPr>
      <w:bookmarkStart w:id="10" w:name="_Ref347234198"/>
      <w:bookmarkStart w:id="11" w:name="_Ref354418629"/>
      <w:r w:rsidRPr="00097E81">
        <w:rPr>
          <w:bCs/>
          <w:lang w:val="en-GB"/>
        </w:rPr>
        <w:t>The ante-mortem data for Dušan Jočić are contained in a missing person’s identification form of the Serbian Ministry of Internal Affairs (MUP), dated 23 March 2003. A handwritten number on the top of that form’s front page reads “2004-000092”.</w:t>
      </w:r>
      <w:bookmarkEnd w:id="10"/>
      <w:r w:rsidRPr="00097E81">
        <w:rPr>
          <w:bCs/>
          <w:lang w:val="en-GB"/>
        </w:rPr>
        <w:t xml:space="preserve"> The part of this form related to the donors of DNA samples is blank.</w:t>
      </w:r>
      <w:bookmarkEnd w:id="11"/>
    </w:p>
    <w:p w:rsidR="00FC789E" w:rsidRPr="00097E81" w:rsidRDefault="00FC789E" w:rsidP="00FC789E">
      <w:pPr>
        <w:pStyle w:val="MediumGrid1-Accent21"/>
        <w:rPr>
          <w:bCs/>
        </w:rPr>
      </w:pPr>
    </w:p>
    <w:p w:rsidR="00FC789E" w:rsidRPr="00097E81" w:rsidRDefault="00FC789E" w:rsidP="00FC789E">
      <w:pPr>
        <w:numPr>
          <w:ilvl w:val="0"/>
          <w:numId w:val="5"/>
        </w:numPr>
        <w:suppressAutoHyphens/>
        <w:autoSpaceDE w:val="0"/>
        <w:jc w:val="both"/>
        <w:rPr>
          <w:bCs/>
          <w:lang w:val="en-GB"/>
        </w:rPr>
      </w:pPr>
      <w:bookmarkStart w:id="12" w:name="_Ref347234200"/>
      <w:r w:rsidRPr="00097E81">
        <w:rPr>
          <w:bCs/>
        </w:rPr>
        <w:t xml:space="preserve">It appears from the file that an investigation into the disappearance of </w:t>
      </w:r>
      <w:r w:rsidRPr="00097E81">
        <w:rPr>
          <w:bCs/>
          <w:lang w:val="en-GB"/>
        </w:rPr>
        <w:t>Dušan Jočić</w:t>
      </w:r>
      <w:r w:rsidRPr="00097E81">
        <w:rPr>
          <w:bCs/>
        </w:rPr>
        <w:t xml:space="preserve"> was opened by the UNMIK Police </w:t>
      </w:r>
      <w:r w:rsidRPr="00097E81">
        <w:t>MPU in 2004.</w:t>
      </w:r>
      <w:bookmarkEnd w:id="12"/>
    </w:p>
    <w:p w:rsidR="00FC789E" w:rsidRPr="00097E81" w:rsidRDefault="00FC789E" w:rsidP="00FC789E">
      <w:pPr>
        <w:suppressAutoHyphens/>
        <w:autoSpaceDE w:val="0"/>
        <w:jc w:val="both"/>
        <w:rPr>
          <w:bCs/>
          <w:lang w:val="en-GB"/>
        </w:rPr>
      </w:pPr>
    </w:p>
    <w:p w:rsidR="00FC789E" w:rsidRPr="00097E81" w:rsidRDefault="00FC789E" w:rsidP="00FC789E">
      <w:pPr>
        <w:numPr>
          <w:ilvl w:val="0"/>
          <w:numId w:val="5"/>
        </w:numPr>
        <w:suppressAutoHyphens/>
        <w:autoSpaceDE w:val="0"/>
        <w:jc w:val="both"/>
        <w:rPr>
          <w:bCs/>
          <w:lang w:val="en-GB"/>
        </w:rPr>
      </w:pPr>
      <w:bookmarkStart w:id="13" w:name="_Ref348367248"/>
      <w:r w:rsidRPr="00097E81">
        <w:rPr>
          <w:bCs/>
          <w:lang w:val="en-GB"/>
        </w:rPr>
        <w:t>The UNMIK OMPF identification and death certificates, dated 24 July 2007, confirm the mortal remains as those of  Dušan Jočić, that they had been located on 16 July 2002 in Lubeniq/Ljubenić village</w:t>
      </w:r>
      <w:r w:rsidRPr="00097E81">
        <w:rPr>
          <w:bCs/>
        </w:rPr>
        <w:t xml:space="preserve">, that he died </w:t>
      </w:r>
      <w:r w:rsidRPr="00097E81">
        <w:rPr>
          <w:bCs/>
          <w:lang w:val="en-GB"/>
        </w:rPr>
        <w:t>before 16 July 2002 and that the cause of death was a gunshot to the head. The same information is in the EULEX identification and death certificates, dated 14 December 2010.</w:t>
      </w:r>
      <w:bookmarkEnd w:id="13"/>
    </w:p>
    <w:p w:rsidR="00FC789E" w:rsidRPr="00097E81" w:rsidRDefault="00FC789E" w:rsidP="00FC789E">
      <w:pPr>
        <w:pStyle w:val="MediumGrid1-Accent21"/>
        <w:rPr>
          <w:bCs/>
          <w:lang w:val="en-GB"/>
        </w:rPr>
      </w:pPr>
    </w:p>
    <w:p w:rsidR="00FC789E" w:rsidRPr="00097E81" w:rsidRDefault="00FC789E" w:rsidP="00FC789E">
      <w:pPr>
        <w:numPr>
          <w:ilvl w:val="0"/>
          <w:numId w:val="5"/>
        </w:numPr>
        <w:suppressAutoHyphens/>
        <w:autoSpaceDE w:val="0"/>
        <w:jc w:val="both"/>
      </w:pPr>
      <w:r w:rsidRPr="00097E81">
        <w:rPr>
          <w:bCs/>
          <w:lang w:val="en-GB"/>
        </w:rPr>
        <w:t>The EULEX handover certificate, dated 17 December 2010, confirms that the mortal remains of Dušan Jočić, together with relevant post-mortem identification documents and the clothing/artefacts, were handed over to a representative of the Commission for Missing Persons of the Government of the Republic of Serbia on the same date.</w:t>
      </w:r>
      <w:r w:rsidRPr="00097E81">
        <w:rPr>
          <w:bCs/>
          <w:u w:val="single"/>
          <w:lang w:val="en-GB"/>
        </w:rPr>
        <w:t xml:space="preserve">  </w:t>
      </w:r>
      <w:r w:rsidRPr="00097E81">
        <w:rPr>
          <w:bCs/>
          <w:lang w:val="en-GB"/>
        </w:rPr>
        <w:t>UNMIK, however, states that the mortal remains were received by the complainant. The case related to the disappearance of Dušan Jočić was closed on the same date.</w:t>
      </w:r>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pPr>
      <w:bookmarkStart w:id="14" w:name="_Ref348358603"/>
      <w:r w:rsidRPr="00097E81">
        <w:t xml:space="preserve">On 12 October 2011, at the Panel’s request, the complainant clarified that she had in fact been contacted by Serbian Government officials, with regard to accepting the mortal remains which had been identified </w:t>
      </w:r>
      <w:r w:rsidR="00EE5E0E" w:rsidRPr="00097E81">
        <w:t>as</w:t>
      </w:r>
      <w:r w:rsidRPr="00097E81">
        <w:t xml:space="preserve"> those of her missing son. However, she did not accept </w:t>
      </w:r>
      <w:r w:rsidR="00EE5E0E" w:rsidRPr="00097E81">
        <w:t>to receive</w:t>
      </w:r>
      <w:r w:rsidR="00E57085" w:rsidRPr="00097E81">
        <w:t xml:space="preserve"> </w:t>
      </w:r>
      <w:r w:rsidRPr="00097E81">
        <w:t>those mortal remains because, first, she does not believe the DNA identification and, second, the belt which was presented to her with the mortal remains was not her son’s.</w:t>
      </w:r>
      <w:bookmarkEnd w:id="14"/>
    </w:p>
    <w:p w:rsidR="00FC789E" w:rsidRPr="00097E81" w:rsidRDefault="00FC789E" w:rsidP="00FC789E">
      <w:pPr>
        <w:suppressAutoHyphens/>
        <w:autoSpaceDE w:val="0"/>
        <w:jc w:val="both"/>
      </w:pPr>
    </w:p>
    <w:p w:rsidR="00FC789E" w:rsidRPr="00097E81" w:rsidRDefault="00FC789E" w:rsidP="00FC789E">
      <w:pPr>
        <w:numPr>
          <w:ilvl w:val="0"/>
          <w:numId w:val="23"/>
        </w:numPr>
        <w:tabs>
          <w:tab w:val="left" w:pos="360"/>
        </w:tabs>
        <w:suppressAutoHyphens/>
        <w:autoSpaceDE w:val="0"/>
        <w:ind w:left="360"/>
        <w:jc w:val="both"/>
        <w:rPr>
          <w:bCs/>
          <w:i/>
          <w:lang w:val="en-GB"/>
        </w:rPr>
      </w:pPr>
      <w:r w:rsidRPr="00097E81">
        <w:rPr>
          <w:bCs/>
          <w:i/>
          <w:lang w:val="en-GB"/>
        </w:rPr>
        <w:t xml:space="preserve">Investigation with regard to perpetrators </w:t>
      </w:r>
    </w:p>
    <w:p w:rsidR="00FC789E" w:rsidRPr="00097E81" w:rsidRDefault="00FC789E" w:rsidP="00FC789E">
      <w:pPr>
        <w:pStyle w:val="MediumGrid1-Accent21"/>
        <w:rPr>
          <w:bCs/>
          <w:i/>
          <w:lang w:val="en-GB"/>
        </w:rPr>
      </w:pPr>
    </w:p>
    <w:p w:rsidR="00FC789E" w:rsidRPr="00097E81" w:rsidRDefault="00FC789E" w:rsidP="00FC789E">
      <w:pPr>
        <w:numPr>
          <w:ilvl w:val="0"/>
          <w:numId w:val="5"/>
        </w:numPr>
        <w:suppressAutoHyphens/>
        <w:autoSpaceDE w:val="0"/>
        <w:jc w:val="both"/>
        <w:rPr>
          <w:bCs/>
          <w:lang w:val="en-GB"/>
        </w:rPr>
      </w:pPr>
      <w:bookmarkStart w:id="15" w:name="_Ref347235697"/>
      <w:r w:rsidRPr="00097E81">
        <w:rPr>
          <w:bCs/>
          <w:lang w:val="en-GB"/>
        </w:rPr>
        <w:t xml:space="preserve">The file presented to the Panel contains a translation of a criminal report, almost identical to the one mentioned in § </w:t>
      </w:r>
      <w:fldSimple w:instr=" REF _Ref347221447 \r \h  \* MERGEFORMAT ">
        <w:r w:rsidR="00F75BE2" w:rsidRPr="00097E81">
          <w:rPr>
            <w:bCs/>
            <w:lang w:val="en-GB"/>
          </w:rPr>
          <w:t>23</w:t>
        </w:r>
      </w:fldSimple>
      <w:r w:rsidRPr="00097E81">
        <w:rPr>
          <w:bCs/>
          <w:lang w:val="en-GB"/>
        </w:rPr>
        <w:t xml:space="preserve"> above, but addressed to the International Public Prosecutor in Prishtin</w:t>
      </w:r>
      <w:r w:rsidRPr="00097E81">
        <w:rPr>
          <w:bCs/>
          <w:lang w:val="ru-RU"/>
        </w:rPr>
        <w:t>ё</w:t>
      </w:r>
      <w:r w:rsidRPr="00097E81">
        <w:rPr>
          <w:bCs/>
          <w:lang w:val="en-GB"/>
        </w:rPr>
        <w:t>/Priština. The translation is marked as having been made by an UNMIK DOJ interpreter and is dated 21 February 2005.</w:t>
      </w:r>
      <w:bookmarkEnd w:id="15"/>
    </w:p>
    <w:p w:rsidR="00FC789E" w:rsidRPr="00097E81" w:rsidRDefault="00FC789E" w:rsidP="00FC789E">
      <w:pPr>
        <w:suppressAutoHyphens/>
        <w:autoSpaceDE w:val="0"/>
        <w:ind w:left="360"/>
        <w:jc w:val="both"/>
        <w:rPr>
          <w:bCs/>
          <w:lang w:val="en-GB"/>
        </w:rPr>
      </w:pPr>
    </w:p>
    <w:p w:rsidR="00FC789E" w:rsidRPr="00097E81" w:rsidRDefault="00FC789E" w:rsidP="00FC789E">
      <w:pPr>
        <w:numPr>
          <w:ilvl w:val="0"/>
          <w:numId w:val="5"/>
        </w:numPr>
        <w:suppressAutoHyphens/>
        <w:autoSpaceDE w:val="0"/>
        <w:jc w:val="both"/>
        <w:rPr>
          <w:bCs/>
        </w:rPr>
      </w:pPr>
      <w:bookmarkStart w:id="16" w:name="_Ref347225196"/>
      <w:r w:rsidRPr="00097E81">
        <w:rPr>
          <w:bCs/>
          <w:lang w:val="en-GB"/>
        </w:rPr>
        <w:t>In accordance with the WCIU Case Report, dated 3 October 2007, the case was entered into the database on 16 August 2005. The “case status” field in the report is blank. The names of two witnesses and a reporting party are mentioned in the report. In a subsequent</w:t>
      </w:r>
      <w:r w:rsidR="00E57085" w:rsidRPr="00097E81">
        <w:rPr>
          <w:bCs/>
          <w:lang w:val="en-GB"/>
        </w:rPr>
        <w:t>,</w:t>
      </w:r>
      <w:r w:rsidRPr="00097E81">
        <w:rPr>
          <w:bCs/>
          <w:lang w:val="en-GB"/>
        </w:rPr>
        <w:t xml:space="preserve"> undated</w:t>
      </w:r>
      <w:r w:rsidR="00D62189" w:rsidRPr="00097E81">
        <w:rPr>
          <w:bCs/>
          <w:lang w:val="en-GB"/>
        </w:rPr>
        <w:t>,</w:t>
      </w:r>
      <w:r w:rsidRPr="00097E81">
        <w:rPr>
          <w:bCs/>
          <w:lang w:val="en-GB"/>
        </w:rPr>
        <w:t xml:space="preserve"> WCIU Case Analysis Report addressed to the UNMIK DOJ, it is noted that none of the identified persons was interviewed, thus further action was recommended.</w:t>
      </w:r>
      <w:bookmarkEnd w:id="16"/>
    </w:p>
    <w:p w:rsidR="00FC789E" w:rsidRPr="00097E81" w:rsidRDefault="00FC789E" w:rsidP="00FC789E">
      <w:pPr>
        <w:pStyle w:val="MediumGrid1-Accent21"/>
        <w:rPr>
          <w:bCs/>
        </w:rPr>
      </w:pPr>
    </w:p>
    <w:p w:rsidR="00FC789E" w:rsidRPr="00097E81" w:rsidRDefault="00FC789E" w:rsidP="00FC789E">
      <w:pPr>
        <w:numPr>
          <w:ilvl w:val="0"/>
          <w:numId w:val="5"/>
        </w:numPr>
        <w:suppressAutoHyphens/>
        <w:autoSpaceDE w:val="0"/>
        <w:jc w:val="both"/>
        <w:rPr>
          <w:bCs/>
        </w:rPr>
      </w:pPr>
      <w:r w:rsidRPr="00097E81">
        <w:rPr>
          <w:bCs/>
        </w:rPr>
        <w:t>No indication of any investigative action with regard to the identification and bringing to justice of those responsible for the disappearance and killing of Dušan Jočić is in the file presented to the Panel.</w:t>
      </w:r>
    </w:p>
    <w:p w:rsidR="00FC789E" w:rsidRPr="00097E81" w:rsidRDefault="00FC789E" w:rsidP="00FC789E">
      <w:pPr>
        <w:pStyle w:val="MediumGrid1-Accent21"/>
        <w:rPr>
          <w:bCs/>
        </w:rPr>
      </w:pPr>
    </w:p>
    <w:p w:rsidR="00FC789E" w:rsidRPr="00097E81" w:rsidRDefault="00FC789E" w:rsidP="00FC789E">
      <w:pPr>
        <w:numPr>
          <w:ilvl w:val="0"/>
          <w:numId w:val="5"/>
        </w:numPr>
        <w:suppressAutoHyphens/>
        <w:autoSpaceDE w:val="0"/>
        <w:jc w:val="both"/>
        <w:rPr>
          <w:bCs/>
          <w:lang w:val="en-GB"/>
        </w:rPr>
      </w:pPr>
      <w:r w:rsidRPr="00097E81">
        <w:rPr>
          <w:bCs/>
          <w:lang w:val="en-GB"/>
        </w:rPr>
        <w:t>In a report dated 1 July 2011, the Provost Marshal of the KFOR Multinational Brigade West (MNBG-West) Headquarters confirms that the archives of the Italian KFOR contingent of the MNBG-West, including those of the Military Security Section and the Financial Supervisor’s Centre, which handles matters of employment of local staff, contain no reference to Dušan Jočić or to anyone with a similar name.  The Provost Marshal concludes that it is unlikely that Dušan Jočić had ever contacted Italian KFOR for employment purposes, and that there are no grounds to implicate the Italian KFOR contingent in his disappearance and killing.</w:t>
      </w:r>
    </w:p>
    <w:p w:rsidR="00FC789E" w:rsidRPr="00097E81" w:rsidRDefault="00FC789E" w:rsidP="00FC789E">
      <w:pPr>
        <w:pStyle w:val="MediumGrid1-Accent21"/>
        <w:rPr>
          <w:bCs/>
          <w:lang w:val="en-GB"/>
        </w:rPr>
      </w:pPr>
    </w:p>
    <w:p w:rsidR="00FC789E" w:rsidRPr="00097E81" w:rsidRDefault="00FC789E" w:rsidP="00FC789E">
      <w:pPr>
        <w:numPr>
          <w:ilvl w:val="0"/>
          <w:numId w:val="5"/>
        </w:numPr>
        <w:suppressAutoHyphens/>
        <w:autoSpaceDE w:val="0"/>
        <w:jc w:val="both"/>
        <w:rPr>
          <w:bCs/>
          <w:lang w:val="en-GB"/>
        </w:rPr>
      </w:pPr>
      <w:r w:rsidRPr="00097E81">
        <w:rPr>
          <w:bCs/>
          <w:lang w:val="en-GB"/>
        </w:rPr>
        <w:t>In the information e-mail to KFOR dated 9 June 2011, an EULEX WCIU investigator notes that Dušan Jočić’s name was no longer in the list of missing person</w:t>
      </w:r>
      <w:r w:rsidR="00E57085" w:rsidRPr="00097E81">
        <w:rPr>
          <w:bCs/>
          <w:lang w:val="en-GB"/>
        </w:rPr>
        <w:t>s</w:t>
      </w:r>
      <w:r w:rsidRPr="00097E81">
        <w:rPr>
          <w:bCs/>
          <w:lang w:val="en-GB"/>
        </w:rPr>
        <w:t>, because his mortal remains had probably been located and handed over to the family, however no information about the identification and handover was in the file.</w:t>
      </w:r>
    </w:p>
    <w:p w:rsidR="00FC789E" w:rsidRPr="00097E81" w:rsidRDefault="00FC789E" w:rsidP="00FC789E">
      <w:pPr>
        <w:pStyle w:val="MediumGrid1-Accent21"/>
        <w:ind w:left="0"/>
        <w:rPr>
          <w:bCs/>
          <w:lang w:val="en-GB"/>
        </w:rPr>
      </w:pPr>
    </w:p>
    <w:p w:rsidR="00FC789E" w:rsidRPr="00097E81" w:rsidRDefault="00FC789E" w:rsidP="00FC789E">
      <w:pPr>
        <w:pStyle w:val="MediumGrid1-Accent21"/>
        <w:ind w:left="0"/>
        <w:jc w:val="both"/>
        <w:rPr>
          <w:b/>
          <w:bCs/>
          <w:lang w:val="en-GB"/>
        </w:rPr>
      </w:pPr>
    </w:p>
    <w:p w:rsidR="00FC789E" w:rsidRPr="00097E81" w:rsidRDefault="00FC789E" w:rsidP="00FC789E">
      <w:pPr>
        <w:numPr>
          <w:ilvl w:val="0"/>
          <w:numId w:val="2"/>
        </w:numPr>
        <w:suppressAutoHyphens/>
        <w:autoSpaceDE w:val="0"/>
        <w:ind w:left="360" w:hanging="360"/>
        <w:jc w:val="both"/>
        <w:rPr>
          <w:b/>
          <w:bCs/>
          <w:lang w:val="en-GB"/>
        </w:rPr>
      </w:pPr>
      <w:r w:rsidRPr="00097E81">
        <w:rPr>
          <w:b/>
          <w:bCs/>
          <w:lang w:val="en-GB"/>
        </w:rPr>
        <w:t>THE COMPLAINT</w:t>
      </w:r>
    </w:p>
    <w:p w:rsidR="00FC789E" w:rsidRPr="00097E81" w:rsidRDefault="00FC789E" w:rsidP="00FC789E">
      <w:pPr>
        <w:suppressAutoHyphens/>
        <w:autoSpaceDE w:val="0"/>
        <w:ind w:left="360"/>
        <w:jc w:val="both"/>
      </w:pPr>
    </w:p>
    <w:p w:rsidR="00FC789E" w:rsidRPr="00097E81" w:rsidRDefault="00FC789E" w:rsidP="00FC789E">
      <w:pPr>
        <w:numPr>
          <w:ilvl w:val="0"/>
          <w:numId w:val="5"/>
        </w:numPr>
        <w:suppressAutoHyphens/>
        <w:autoSpaceDE w:val="0"/>
        <w:jc w:val="both"/>
        <w:rPr>
          <w:lang w:val="en-GB"/>
        </w:rPr>
      </w:pPr>
      <w:r w:rsidRPr="00097E81">
        <w:rPr>
          <w:lang w:val="en-GB"/>
        </w:rPr>
        <w:t xml:space="preserve">The complainant complains about UNMIK’s alleged failure to properly investigate </w:t>
      </w:r>
      <w:r w:rsidR="00A25DE4" w:rsidRPr="00097E81">
        <w:rPr>
          <w:lang w:val="en-GB"/>
        </w:rPr>
        <w:t xml:space="preserve">the disappearance </w:t>
      </w:r>
      <w:r w:rsidRPr="00097E81">
        <w:rPr>
          <w:bCs/>
          <w:lang w:val="en-GB"/>
        </w:rPr>
        <w:t xml:space="preserve">and killing </w:t>
      </w:r>
      <w:r w:rsidRPr="00097E81">
        <w:rPr>
          <w:lang w:val="en-GB"/>
        </w:rPr>
        <w:t xml:space="preserve">of her son. In this regard the Panel deems that she invokes a violation of the procedural limb of Article 2 of the European Convention on Human Rights (ECHR). </w:t>
      </w:r>
    </w:p>
    <w:p w:rsidR="00FC789E" w:rsidRPr="00097E81" w:rsidRDefault="00FC789E" w:rsidP="00FC789E">
      <w:pPr>
        <w:pStyle w:val="Default"/>
        <w:ind w:left="360"/>
        <w:jc w:val="both"/>
        <w:rPr>
          <w:lang w:val="en-GB"/>
        </w:rPr>
      </w:pPr>
    </w:p>
    <w:p w:rsidR="00FC789E" w:rsidRPr="00097E81" w:rsidRDefault="00FC789E" w:rsidP="00FC789E">
      <w:pPr>
        <w:numPr>
          <w:ilvl w:val="0"/>
          <w:numId w:val="5"/>
        </w:numPr>
        <w:suppressAutoHyphens/>
        <w:autoSpaceDE w:val="0"/>
        <w:jc w:val="both"/>
        <w:rPr>
          <w:lang w:val="en-GB"/>
        </w:rPr>
      </w:pPr>
      <w:r w:rsidRPr="00097E81">
        <w:rPr>
          <w:lang w:val="en-GB"/>
        </w:rPr>
        <w:t xml:space="preserve">The </w:t>
      </w:r>
      <w:r w:rsidRPr="00097E81">
        <w:rPr>
          <w:bCs/>
          <w:lang w:val="en-GB"/>
        </w:rPr>
        <w:t>complainant</w:t>
      </w:r>
      <w:r w:rsidRPr="00097E81">
        <w:rPr>
          <w:lang w:val="en-GB"/>
        </w:rPr>
        <w:t xml:space="preserve"> also complains about the mental pain and suffering allegedly caused to herself and her family by this situation. In this regard, the Panel deems that the complainant r</w:t>
      </w:r>
      <w:r w:rsidR="00637BA7" w:rsidRPr="00097E81">
        <w:rPr>
          <w:lang w:val="en-GB"/>
        </w:rPr>
        <w:t>elies on Article 3 of the ECHR.</w:t>
      </w:r>
    </w:p>
    <w:p w:rsidR="00FC789E" w:rsidRPr="00097E81" w:rsidRDefault="00FC789E" w:rsidP="00FC789E">
      <w:pPr>
        <w:suppressAutoHyphens/>
        <w:autoSpaceDE w:val="0"/>
        <w:jc w:val="both"/>
        <w:rPr>
          <w:b/>
          <w:bCs/>
          <w:lang w:val="en-GB"/>
        </w:rPr>
      </w:pPr>
    </w:p>
    <w:p w:rsidR="00FC789E" w:rsidRPr="00097E81" w:rsidRDefault="00FC789E" w:rsidP="00FC789E">
      <w:pPr>
        <w:suppressAutoHyphens/>
        <w:autoSpaceDE w:val="0"/>
        <w:jc w:val="both"/>
        <w:rPr>
          <w:b/>
          <w:bCs/>
          <w:lang w:val="en-GB"/>
        </w:rPr>
      </w:pPr>
    </w:p>
    <w:p w:rsidR="00FC789E" w:rsidRPr="00097E81" w:rsidRDefault="00FC789E" w:rsidP="00FC789E">
      <w:pPr>
        <w:numPr>
          <w:ilvl w:val="0"/>
          <w:numId w:val="2"/>
        </w:numPr>
        <w:suppressAutoHyphens/>
        <w:autoSpaceDE w:val="0"/>
        <w:ind w:left="360" w:hanging="360"/>
        <w:jc w:val="both"/>
        <w:rPr>
          <w:b/>
          <w:bCs/>
          <w:lang w:val="en-GB"/>
        </w:rPr>
      </w:pPr>
      <w:r w:rsidRPr="00097E81">
        <w:rPr>
          <w:b/>
          <w:bCs/>
          <w:lang w:val="en-GB"/>
        </w:rPr>
        <w:t>THE LAW</w:t>
      </w:r>
    </w:p>
    <w:p w:rsidR="00FC789E" w:rsidRPr="00097E81" w:rsidRDefault="00FC789E" w:rsidP="00FC789E">
      <w:pPr>
        <w:autoSpaceDE w:val="0"/>
        <w:jc w:val="both"/>
        <w:rPr>
          <w:b/>
          <w:lang w:val="en-GB"/>
        </w:rPr>
      </w:pPr>
    </w:p>
    <w:p w:rsidR="00FC789E" w:rsidRPr="00097E81" w:rsidRDefault="00FC789E" w:rsidP="00FC789E">
      <w:pPr>
        <w:pStyle w:val="Default"/>
        <w:numPr>
          <w:ilvl w:val="0"/>
          <w:numId w:val="15"/>
        </w:numPr>
        <w:jc w:val="both"/>
        <w:rPr>
          <w:b/>
          <w:lang w:val="en-GB"/>
        </w:rPr>
      </w:pPr>
      <w:r w:rsidRPr="00097E81">
        <w:rPr>
          <w:b/>
          <w:lang w:val="en-GB"/>
        </w:rPr>
        <w:t>Alleged violation of the procedural obligation under</w:t>
      </w:r>
      <w:r w:rsidRPr="00097E81">
        <w:rPr>
          <w:b/>
          <w:i/>
          <w:lang w:val="en-GB"/>
        </w:rPr>
        <w:t xml:space="preserve"> </w:t>
      </w:r>
      <w:r w:rsidRPr="00097E81">
        <w:rPr>
          <w:b/>
          <w:lang w:val="en-GB"/>
        </w:rPr>
        <w:t xml:space="preserve">Article 2 of the ECHR </w:t>
      </w:r>
    </w:p>
    <w:p w:rsidR="00FC789E" w:rsidRPr="00097E81" w:rsidRDefault="00FC789E" w:rsidP="00FC789E">
      <w:pPr>
        <w:suppressAutoHyphens/>
        <w:autoSpaceDE w:val="0"/>
        <w:ind w:left="360"/>
        <w:jc w:val="both"/>
        <w:rPr>
          <w:bCs/>
          <w:lang w:val="en-GB"/>
        </w:rPr>
      </w:pPr>
    </w:p>
    <w:p w:rsidR="00FC789E" w:rsidRPr="00097E81" w:rsidRDefault="00FC789E" w:rsidP="00FC789E">
      <w:pPr>
        <w:numPr>
          <w:ilvl w:val="0"/>
          <w:numId w:val="5"/>
        </w:numPr>
        <w:tabs>
          <w:tab w:val="left" w:pos="360"/>
          <w:tab w:val="left" w:pos="630"/>
          <w:tab w:val="left" w:pos="2790"/>
        </w:tabs>
        <w:suppressAutoHyphens/>
        <w:autoSpaceDE w:val="0"/>
        <w:jc w:val="both"/>
        <w:rPr>
          <w:bCs/>
          <w:u w:val="single"/>
          <w:lang w:val="en-GB"/>
        </w:rPr>
      </w:pPr>
      <w:r w:rsidRPr="00097E81">
        <w:rPr>
          <w:bCs/>
          <w:lang w:val="en-GB"/>
        </w:rPr>
        <w:t xml:space="preserve">The Panel considers that the complainant invokes a violation of the procedural </w:t>
      </w:r>
      <w:r w:rsidRPr="00097E81">
        <w:rPr>
          <w:rFonts w:cs="CAGLHH+TimesNewRoman"/>
          <w:color w:val="000000"/>
          <w:lang w:val="en-GB"/>
        </w:rPr>
        <w:t>obligation</w:t>
      </w:r>
      <w:r w:rsidRPr="00097E81">
        <w:rPr>
          <w:bCs/>
          <w:lang w:val="en-GB"/>
        </w:rPr>
        <w:t xml:space="preserve"> stemming from the right to life, guaranteed by Article 2 of the European Convention on Human Rights (ECHR) in that </w:t>
      </w:r>
      <w:r w:rsidRPr="00097E81">
        <w:rPr>
          <w:bCs/>
        </w:rPr>
        <w:t>UNMIK Police did not conduct an effective investigation into her son’s disappearance and killing</w:t>
      </w:r>
      <w:r w:rsidRPr="00097E81">
        <w:rPr>
          <w:lang w:val="en-GB"/>
        </w:rPr>
        <w:t>.</w:t>
      </w:r>
    </w:p>
    <w:p w:rsidR="00FC789E" w:rsidRPr="00097E81" w:rsidRDefault="00FC789E" w:rsidP="00FC789E">
      <w:pPr>
        <w:pStyle w:val="MediumGrid1-Accent21"/>
        <w:suppressAutoHyphens w:val="0"/>
        <w:ind w:left="360"/>
        <w:contextualSpacing/>
        <w:rPr>
          <w:b/>
          <w:bCs/>
          <w:lang w:val="en-GB"/>
        </w:rPr>
      </w:pPr>
    </w:p>
    <w:p w:rsidR="00FC789E" w:rsidRPr="00097E81" w:rsidRDefault="00FC789E" w:rsidP="00FC789E">
      <w:pPr>
        <w:pStyle w:val="MediumGrid1-Accent21"/>
        <w:numPr>
          <w:ilvl w:val="1"/>
          <w:numId w:val="16"/>
        </w:numPr>
        <w:tabs>
          <w:tab w:val="clear" w:pos="-720"/>
          <w:tab w:val="num" w:pos="360"/>
        </w:tabs>
        <w:suppressAutoHyphens w:val="0"/>
        <w:ind w:left="360"/>
        <w:contextualSpacing/>
        <w:rPr>
          <w:b/>
          <w:bCs/>
          <w:lang w:val="en-GB"/>
        </w:rPr>
      </w:pPr>
      <w:r w:rsidRPr="00097E81">
        <w:rPr>
          <w:b/>
          <w:bCs/>
          <w:lang w:val="en-GB"/>
        </w:rPr>
        <w:t>The scope of the Panel’s review</w:t>
      </w:r>
    </w:p>
    <w:p w:rsidR="00FC789E" w:rsidRPr="00097E81" w:rsidRDefault="00FC789E" w:rsidP="00FC789E">
      <w:pPr>
        <w:autoSpaceDE w:val="0"/>
        <w:jc w:val="both"/>
        <w:rPr>
          <w:b/>
          <w:lang w:val="en-GB"/>
        </w:rPr>
      </w:pPr>
    </w:p>
    <w:p w:rsidR="00FC789E" w:rsidRPr="00097E81" w:rsidRDefault="00FC789E" w:rsidP="00FC789E">
      <w:pPr>
        <w:numPr>
          <w:ilvl w:val="0"/>
          <w:numId w:val="5"/>
        </w:numPr>
        <w:tabs>
          <w:tab w:val="left" w:pos="360"/>
          <w:tab w:val="num" w:pos="630"/>
        </w:tabs>
        <w:suppressAutoHyphens/>
        <w:autoSpaceDE w:val="0"/>
        <w:jc w:val="both"/>
        <w:rPr>
          <w:lang w:val="en-GB"/>
        </w:rPr>
      </w:pPr>
      <w:bookmarkStart w:id="17" w:name="_Ref350947678"/>
      <w:r w:rsidRPr="00097E81">
        <w:rPr>
          <w:lang w:val="en-GB"/>
        </w:rPr>
        <w:t>In determining whether it considers that there has been a violation of Article 2 (procedural limb)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17"/>
      <w:r w:rsidRPr="00097E81">
        <w:rPr>
          <w:lang w:val="en-GB"/>
        </w:rPr>
        <w:t xml:space="preserve"> </w:t>
      </w:r>
    </w:p>
    <w:p w:rsidR="00FC789E" w:rsidRPr="00097E81" w:rsidRDefault="00FC789E" w:rsidP="00FC789E">
      <w:pPr>
        <w:tabs>
          <w:tab w:val="left" w:pos="360"/>
        </w:tabs>
        <w:autoSpaceDE w:val="0"/>
        <w:ind w:left="360" w:hanging="360"/>
        <w:jc w:val="both"/>
        <w:rPr>
          <w:bCs/>
          <w:lang w:val="en-GB"/>
        </w:rPr>
      </w:pPr>
    </w:p>
    <w:p w:rsidR="00FC789E" w:rsidRPr="00097E81" w:rsidRDefault="00FC789E" w:rsidP="00FC789E">
      <w:pPr>
        <w:numPr>
          <w:ilvl w:val="0"/>
          <w:numId w:val="5"/>
        </w:numPr>
        <w:tabs>
          <w:tab w:val="left" w:pos="360"/>
          <w:tab w:val="num" w:pos="630"/>
        </w:tabs>
        <w:suppressAutoHyphens/>
        <w:autoSpaceDE w:val="0"/>
        <w:jc w:val="both"/>
        <w:rPr>
          <w:bCs/>
          <w:lang w:val="en-GB"/>
        </w:rPr>
      </w:pPr>
      <w:r w:rsidRPr="00097E81">
        <w:rPr>
          <w:bCs/>
          <w:lang w:val="en-GB"/>
        </w:rPr>
        <w:t>Before turning to the examination of the merits of the complaint, the Panel needs to clarify the scope of its review.</w:t>
      </w:r>
    </w:p>
    <w:p w:rsidR="00FC789E" w:rsidRPr="00097E81" w:rsidRDefault="00FC789E" w:rsidP="00FC789E">
      <w:pPr>
        <w:tabs>
          <w:tab w:val="left" w:pos="360"/>
        </w:tabs>
        <w:autoSpaceDE w:val="0"/>
        <w:ind w:left="360" w:hanging="360"/>
        <w:jc w:val="both"/>
        <w:rPr>
          <w:bCs/>
          <w:lang w:val="en-GB"/>
        </w:rPr>
      </w:pPr>
    </w:p>
    <w:p w:rsidR="00FC789E" w:rsidRPr="00097E81" w:rsidRDefault="00FC789E" w:rsidP="00FC789E">
      <w:pPr>
        <w:numPr>
          <w:ilvl w:val="0"/>
          <w:numId w:val="5"/>
        </w:numPr>
        <w:tabs>
          <w:tab w:val="left" w:pos="360"/>
          <w:tab w:val="num" w:pos="630"/>
        </w:tabs>
        <w:suppressAutoHyphens/>
        <w:autoSpaceDE w:val="0"/>
        <w:jc w:val="both"/>
      </w:pPr>
      <w:bookmarkStart w:id="18" w:name="_Ref347321462"/>
      <w:bookmarkStart w:id="19" w:name="_Ref317418022"/>
      <w:r w:rsidRPr="00097E81">
        <w:rPr>
          <w:color w:val="000000"/>
          <w:lang w:val="en-GB" w:eastAsia="nl-BE"/>
        </w:rPr>
        <w:t xml:space="preserve">The </w:t>
      </w:r>
      <w:r w:rsidRPr="00097E81">
        <w:rPr>
          <w:bCs/>
          <w:lang w:val="en-GB"/>
        </w:rPr>
        <w:t>Panel</w:t>
      </w:r>
      <w:r w:rsidRPr="00097E81">
        <w:rPr>
          <w:color w:val="000000"/>
          <w:lang w:val="en-GB" w:eastAsia="nl-BE"/>
        </w:rPr>
        <w:t xml:space="preserve"> notes that with the adoption of the UNMIK Regulation No. 1999/1 on 25 July 1999 UNMIK undertook an obligation to observe internationally recognised human </w:t>
      </w:r>
      <w:r w:rsidRPr="00097E81">
        <w:rPr>
          <w:bCs/>
          <w:lang w:val="en-GB"/>
        </w:rPr>
        <w:t>rights</w:t>
      </w:r>
      <w:r w:rsidRPr="00097E8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097E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097E81">
          <w:rPr>
            <w:rStyle w:val="Hyperlink"/>
            <w:color w:val="auto"/>
            <w:u w:val="none"/>
            <w:lang w:val="en-GB"/>
          </w:rPr>
          <w:t>the Convention Against Torture and Other Cruel, Inhuman or Degrading Treatment or Punishment</w:t>
        </w:r>
      </w:hyperlink>
      <w:r w:rsidRPr="00097E81">
        <w:rPr>
          <w:lang w:val="en-GB"/>
        </w:rPr>
        <w:t xml:space="preserve">, the </w:t>
      </w:r>
      <w:r w:rsidRPr="00097E81">
        <w:t>Convention on the Rights of the Child.</w:t>
      </w:r>
      <w:bookmarkEnd w:id="18"/>
    </w:p>
    <w:p w:rsidR="00FC789E" w:rsidRPr="00097E81" w:rsidRDefault="00FC789E" w:rsidP="00FC789E">
      <w:pPr>
        <w:tabs>
          <w:tab w:val="left" w:pos="360"/>
        </w:tabs>
        <w:suppressAutoHyphens/>
        <w:autoSpaceDE w:val="0"/>
        <w:ind w:left="360" w:hanging="360"/>
        <w:jc w:val="both"/>
        <w:rPr>
          <w:lang w:val="en-GB"/>
        </w:rPr>
      </w:pPr>
      <w:bookmarkStart w:id="20" w:name="_Ref317493050"/>
    </w:p>
    <w:p w:rsidR="00FC789E" w:rsidRPr="00097E81" w:rsidRDefault="00FC789E" w:rsidP="00FC789E">
      <w:pPr>
        <w:numPr>
          <w:ilvl w:val="0"/>
          <w:numId w:val="5"/>
        </w:numPr>
        <w:tabs>
          <w:tab w:val="left" w:pos="360"/>
          <w:tab w:val="num" w:pos="630"/>
        </w:tabs>
        <w:suppressAutoHyphens/>
        <w:autoSpaceDE w:val="0"/>
        <w:jc w:val="both"/>
        <w:rPr>
          <w:lang w:val="en-GB"/>
        </w:rPr>
      </w:pPr>
      <w:bookmarkStart w:id="21" w:name="_Ref347495661"/>
      <w:r w:rsidRPr="00097E81">
        <w:rPr>
          <w:rFonts w:cs="CAGLHH+TimesNewRoman"/>
          <w:color w:val="000000"/>
          <w:lang w:val="en-GB"/>
        </w:rPr>
        <w:t xml:space="preserve">The Panel also notes that Section 1.2 of </w:t>
      </w:r>
      <w:r w:rsidRPr="00097E81">
        <w:rPr>
          <w:bCs/>
          <w:lang w:val="en-GB"/>
        </w:rPr>
        <w:t xml:space="preserve">UNMIK Regulation No. 2006/12 of 23 March 2006 on the Establishment of the Human Rights Advisory Panel </w:t>
      </w:r>
      <w:r w:rsidRPr="00097E81">
        <w:rPr>
          <w:rFonts w:cs="CAGLHH+TimesNewRoman"/>
          <w:color w:val="000000"/>
          <w:lang w:val="en-GB"/>
        </w:rPr>
        <w:t xml:space="preserve">provides that the Panel “shall examine complaints from any person or group of individuals claiming to be the victim of a violation by UNMIK of (their) human rights”. It </w:t>
      </w:r>
      <w:r w:rsidRPr="00097E81">
        <w:rPr>
          <w:bCs/>
          <w:lang w:val="en-GB"/>
        </w:rPr>
        <w:t>follows</w:t>
      </w:r>
      <w:r w:rsidRPr="00097E81">
        <w:rPr>
          <w:rFonts w:cs="CAGLHH+TimesNewRoman"/>
          <w:color w:val="000000"/>
          <w:lang w:val="en-GB"/>
        </w:rPr>
        <w:t xml:space="preserve"> that only acts or omissions attributable to UNMIK fall within the jurisdiction </w:t>
      </w:r>
      <w:r w:rsidRPr="00097E81">
        <w:rPr>
          <w:rFonts w:cs="CAGLHH+TimesNewRoman"/>
          <w:i/>
          <w:color w:val="000000"/>
          <w:lang w:val="en-GB"/>
        </w:rPr>
        <w:t>ratione personae</w:t>
      </w:r>
      <w:r w:rsidRPr="00097E81">
        <w:rPr>
          <w:rFonts w:cs="CAGLHH+TimesNewRoman"/>
          <w:color w:val="000000"/>
          <w:lang w:val="en-GB"/>
        </w:rPr>
        <w:t xml:space="preserve"> of the Panel. In this respect, it should be noted, as stated above, that as of </w:t>
      </w:r>
      <w:r w:rsidRPr="00097E81">
        <w:rPr>
          <w:lang w:val="en-GB"/>
        </w:rPr>
        <w:t xml:space="preserve">9 December 2008, UNMIK </w:t>
      </w:r>
      <w:r w:rsidRPr="00097E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097E81">
        <w:rPr>
          <w:bCs/>
          <w:i/>
          <w:lang w:val="en-GB"/>
        </w:rPr>
        <w:t>ratione personae</w:t>
      </w:r>
      <w:r w:rsidRPr="00097E81">
        <w:rPr>
          <w:bCs/>
          <w:lang w:val="en-GB"/>
        </w:rPr>
        <w:t xml:space="preserve"> of the Panel.</w:t>
      </w:r>
      <w:bookmarkEnd w:id="20"/>
      <w:bookmarkEnd w:id="21"/>
    </w:p>
    <w:p w:rsidR="00FC789E" w:rsidRPr="00097E81" w:rsidRDefault="00FC789E" w:rsidP="00FC789E">
      <w:pPr>
        <w:pStyle w:val="MediumGrid1-Accent21"/>
        <w:tabs>
          <w:tab w:val="left" w:pos="360"/>
        </w:tabs>
        <w:ind w:left="360" w:hanging="360"/>
        <w:rPr>
          <w:lang w:val="en-GB"/>
        </w:rPr>
      </w:pPr>
    </w:p>
    <w:p w:rsidR="00FC789E" w:rsidRPr="00097E81" w:rsidRDefault="00FC789E" w:rsidP="00FC789E">
      <w:pPr>
        <w:numPr>
          <w:ilvl w:val="0"/>
          <w:numId w:val="5"/>
        </w:numPr>
        <w:tabs>
          <w:tab w:val="left" w:pos="360"/>
          <w:tab w:val="num" w:pos="630"/>
        </w:tabs>
        <w:suppressAutoHyphens/>
        <w:autoSpaceDE w:val="0"/>
        <w:jc w:val="both"/>
        <w:rPr>
          <w:bCs/>
          <w:lang w:val="en-GB"/>
        </w:rPr>
      </w:pPr>
      <w:r w:rsidRPr="00097E81">
        <w:rPr>
          <w:rFonts w:cs="CAGLHH+TimesNewRoman"/>
          <w:color w:val="000000"/>
          <w:lang w:val="en-GB"/>
        </w:rPr>
        <w:t xml:space="preserve">Likewise, the Panel emphasises that, as far as its jurisdiction </w:t>
      </w:r>
      <w:r w:rsidRPr="00097E81">
        <w:rPr>
          <w:rFonts w:cs="CAGLHH+TimesNewRoman"/>
          <w:i/>
          <w:color w:val="000000"/>
          <w:lang w:val="en-GB"/>
        </w:rPr>
        <w:t>ratione materiae</w:t>
      </w:r>
      <w:r w:rsidRPr="00097E81">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fldSimple w:instr=" REF _Ref347321462 \r \h  \* MERGEFORMAT ">
        <w:r w:rsidR="00F75BE2" w:rsidRPr="00097E81">
          <w:rPr>
            <w:rFonts w:cs="CAGLHH+TimesNewRoman"/>
            <w:color w:val="000000"/>
            <w:lang w:val="en-GB"/>
          </w:rPr>
          <w:t>44</w:t>
        </w:r>
      </w:fldSimple>
      <w:r w:rsidRPr="00097E81">
        <w:rPr>
          <w:rFonts w:cs="CAGLHH+TimesNewRoman"/>
          <w:color w:val="000000"/>
          <w:lang w:val="en-GB"/>
        </w:rPr>
        <w:t>).</w:t>
      </w:r>
      <w:r w:rsidRPr="00097E8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FC789E" w:rsidRPr="00097E81" w:rsidRDefault="00FC789E" w:rsidP="00FC789E">
      <w:pPr>
        <w:pStyle w:val="MediumGrid1-Accent21"/>
        <w:tabs>
          <w:tab w:val="left" w:pos="360"/>
        </w:tabs>
        <w:ind w:left="360" w:hanging="360"/>
        <w:rPr>
          <w:bCs/>
          <w:lang w:val="en-GB"/>
        </w:rPr>
      </w:pPr>
    </w:p>
    <w:p w:rsidR="00FC789E" w:rsidRPr="00097E81" w:rsidRDefault="00FC789E" w:rsidP="00FC789E">
      <w:pPr>
        <w:numPr>
          <w:ilvl w:val="0"/>
          <w:numId w:val="5"/>
        </w:numPr>
        <w:tabs>
          <w:tab w:val="left" w:pos="360"/>
          <w:tab w:val="left" w:pos="630"/>
          <w:tab w:val="left" w:pos="2790"/>
        </w:tabs>
        <w:suppressAutoHyphens/>
        <w:autoSpaceDE w:val="0"/>
        <w:jc w:val="both"/>
        <w:rPr>
          <w:bCs/>
          <w:lang w:val="en-GB"/>
        </w:rPr>
      </w:pPr>
      <w:bookmarkStart w:id="22" w:name="_Ref346123885"/>
      <w:r w:rsidRPr="00097E81">
        <w:rPr>
          <w:bCs/>
          <w:lang w:val="en-GB"/>
        </w:rPr>
        <w:t>The Panel further notes that Section 2 of UNMIK Regulation No. 2006/12 provides that t</w:t>
      </w:r>
      <w:r w:rsidRPr="00097E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97E81">
        <w:rPr>
          <w:rFonts w:cs="CAGLHH+TimesNewRoman"/>
          <w:i/>
          <w:color w:val="000000"/>
          <w:lang w:val="en-GB"/>
        </w:rPr>
        <w:t>ratione temporis</w:t>
      </w:r>
      <w:r w:rsidRPr="00097E81">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9"/>
      <w:r w:rsidRPr="00097E81">
        <w:rPr>
          <w:rFonts w:cs="CAGLHH+TimesNewRoman"/>
          <w:color w:val="000000"/>
          <w:lang w:val="en-GB"/>
        </w:rPr>
        <w:t xml:space="preserve"> (see European Court of Human Rights (ECtHR), Grand Chamber, </w:t>
      </w:r>
      <w:r w:rsidRPr="00097E81">
        <w:rPr>
          <w:rFonts w:cs="CAGLHH+TimesNewRoman"/>
          <w:i/>
          <w:color w:val="000000"/>
          <w:lang w:val="en-GB"/>
        </w:rPr>
        <w:t>Varnava and Others v. Turkey</w:t>
      </w:r>
      <w:r w:rsidRPr="00097E81">
        <w:rPr>
          <w:rFonts w:cs="CAGLHH+TimesNewRoman"/>
          <w:color w:val="000000"/>
          <w:lang w:val="en-GB"/>
        </w:rPr>
        <w:t xml:space="preserve">, nos. 16064/90 and others, judgment of 18 September 2009, §§ 147-149; ECtHR, </w:t>
      </w:r>
      <w:r w:rsidRPr="00097E81">
        <w:rPr>
          <w:rFonts w:cs="CAGLHH+TimesNewRoman"/>
          <w:i/>
          <w:color w:val="000000"/>
          <w:lang w:val="en-GB"/>
        </w:rPr>
        <w:t xml:space="preserve">Cyprus v. Turkey </w:t>
      </w:r>
      <w:r w:rsidRPr="00097E81">
        <w:rPr>
          <w:rFonts w:cs="CAGLHH+TimesNewRoman"/>
          <w:color w:val="000000"/>
          <w:lang w:val="en-GB"/>
        </w:rPr>
        <w:t xml:space="preserve">[GC] no. </w:t>
      </w:r>
      <w:r w:rsidRPr="00097E81">
        <w:rPr>
          <w:rStyle w:val="s85f22697"/>
          <w:lang w:val="en-GB"/>
        </w:rPr>
        <w:t>25781/94, judgment of 10 May 2001,</w:t>
      </w:r>
      <w:r w:rsidRPr="00097E81">
        <w:rPr>
          <w:rFonts w:cs="CAGLHH+TimesNewRoman"/>
          <w:color w:val="000000"/>
          <w:lang w:val="en-GB"/>
        </w:rPr>
        <w:t xml:space="preserve"> § 136, ECHR 2001-IV).</w:t>
      </w:r>
      <w:bookmarkEnd w:id="22"/>
      <w:r w:rsidRPr="00097E81">
        <w:rPr>
          <w:rFonts w:cs="CAGLHH+TimesNewRoman"/>
          <w:color w:val="000000"/>
          <w:lang w:val="en-GB"/>
        </w:rPr>
        <w:t xml:space="preserve"> </w:t>
      </w:r>
    </w:p>
    <w:p w:rsidR="00FC789E" w:rsidRPr="00097E81" w:rsidRDefault="00FC789E" w:rsidP="00FC789E">
      <w:pPr>
        <w:autoSpaceDE w:val="0"/>
        <w:jc w:val="both"/>
        <w:rPr>
          <w:b/>
          <w:lang w:val="en-GB"/>
        </w:rPr>
      </w:pPr>
    </w:p>
    <w:p w:rsidR="00FC789E" w:rsidRPr="00097E81" w:rsidRDefault="00FC789E" w:rsidP="00FC789E">
      <w:pPr>
        <w:pStyle w:val="MediumGrid1-Accent21"/>
        <w:numPr>
          <w:ilvl w:val="1"/>
          <w:numId w:val="16"/>
        </w:numPr>
        <w:tabs>
          <w:tab w:val="clear" w:pos="-720"/>
          <w:tab w:val="num" w:pos="360"/>
        </w:tabs>
        <w:suppressAutoHyphens w:val="0"/>
        <w:ind w:left="360"/>
        <w:contextualSpacing/>
        <w:rPr>
          <w:b/>
          <w:bCs/>
          <w:lang w:val="en-GB"/>
        </w:rPr>
      </w:pPr>
      <w:r w:rsidRPr="00097E81">
        <w:rPr>
          <w:b/>
          <w:bCs/>
          <w:lang w:val="en-GB"/>
        </w:rPr>
        <w:t>The Parties’ submissions</w:t>
      </w:r>
    </w:p>
    <w:p w:rsidR="00FC789E" w:rsidRPr="00097E81" w:rsidRDefault="00FC789E" w:rsidP="00FC789E">
      <w:pPr>
        <w:suppressAutoHyphens/>
        <w:autoSpaceDE w:val="0"/>
        <w:jc w:val="both"/>
        <w:rPr>
          <w:bCs/>
          <w:lang w:val="en-GB"/>
        </w:rPr>
      </w:pPr>
    </w:p>
    <w:p w:rsidR="00FC789E" w:rsidRPr="00097E81" w:rsidRDefault="00FC789E" w:rsidP="00FC789E">
      <w:pPr>
        <w:numPr>
          <w:ilvl w:val="0"/>
          <w:numId w:val="5"/>
        </w:numPr>
        <w:suppressAutoHyphens/>
        <w:autoSpaceDE w:val="0"/>
        <w:jc w:val="both"/>
        <w:rPr>
          <w:bCs/>
        </w:rPr>
      </w:pPr>
      <w:r w:rsidRPr="00097E81">
        <w:t xml:space="preserve">The </w:t>
      </w:r>
      <w:r w:rsidRPr="00097E81">
        <w:rPr>
          <w:bCs/>
          <w:lang w:val="en-GB"/>
        </w:rPr>
        <w:t>complainant</w:t>
      </w:r>
      <w:r w:rsidRPr="00097E81">
        <w:t xml:space="preserve"> in substance alleges violations concerning the lack of an adequate criminal investigation into the </w:t>
      </w:r>
      <w:r w:rsidR="00E57085" w:rsidRPr="00097E81">
        <w:t xml:space="preserve">disappearance </w:t>
      </w:r>
      <w:r w:rsidRPr="00097E81">
        <w:t>and killing of her son. The complainant also states that she was not informed as to whether an investigation was conducted and what the outcome was.</w:t>
      </w:r>
    </w:p>
    <w:p w:rsidR="00FC789E" w:rsidRPr="00097E81" w:rsidRDefault="00FC789E" w:rsidP="00FC789E">
      <w:pPr>
        <w:suppressAutoHyphens/>
        <w:autoSpaceDE w:val="0"/>
        <w:ind w:left="360"/>
        <w:jc w:val="both"/>
      </w:pPr>
    </w:p>
    <w:p w:rsidR="00F963CB" w:rsidRPr="00097E81" w:rsidRDefault="00FC789E" w:rsidP="00F963CB">
      <w:pPr>
        <w:numPr>
          <w:ilvl w:val="0"/>
          <w:numId w:val="5"/>
        </w:numPr>
        <w:suppressAutoHyphens/>
        <w:autoSpaceDE w:val="0"/>
        <w:jc w:val="both"/>
        <w:rPr>
          <w:bCs/>
          <w:u w:val="single"/>
          <w:lang w:val="en-GB"/>
        </w:rPr>
      </w:pPr>
      <w:r w:rsidRPr="00097E81">
        <w:rPr>
          <w:bCs/>
          <w:lang w:val="en-GB"/>
        </w:rPr>
        <w:t>In his comments on the merits of the complaint, the SRSG agrees that by virtue of the United Nations Security Council Resolution 1244 (1999), UNMIK was responsible for the security and safety of persons living in Kosovo. UNMIK’s policing responsibility entailed that “UNMIK had a mandate to protect people in Kosovo against criminal activities and to conduct effective investigations into crimes”. Therefore, the SRSG acknowledges that UNMIK had an obligation to carry out an effective investigation into the disappearance and killing of Dušan Jočić, as required under Article 2 of the ECHR</w:t>
      </w:r>
      <w:r w:rsidR="00D62189" w:rsidRPr="00097E81">
        <w:rPr>
          <w:bCs/>
          <w:lang w:val="en-GB"/>
        </w:rPr>
        <w:t>.</w:t>
      </w:r>
    </w:p>
    <w:p w:rsidR="00FC789E" w:rsidRPr="00097E81" w:rsidRDefault="00FC789E" w:rsidP="00FC789E">
      <w:pPr>
        <w:suppressAutoHyphens/>
        <w:autoSpaceDE w:val="0"/>
        <w:jc w:val="both"/>
        <w:rPr>
          <w:bCs/>
        </w:rPr>
      </w:pPr>
    </w:p>
    <w:p w:rsidR="00FC789E" w:rsidRPr="00097E81" w:rsidRDefault="00FC789E" w:rsidP="00FC789E">
      <w:pPr>
        <w:numPr>
          <w:ilvl w:val="0"/>
          <w:numId w:val="5"/>
        </w:numPr>
        <w:suppressAutoHyphens/>
        <w:autoSpaceDE w:val="0"/>
        <w:jc w:val="both"/>
        <w:rPr>
          <w:bCs/>
          <w:lang w:val="en-GB"/>
        </w:rPr>
      </w:pPr>
      <w:r w:rsidRPr="00097E81">
        <w:rPr>
          <w:bCs/>
          <w:lang w:val="en-GB"/>
        </w:rPr>
        <w:t xml:space="preserve">The SRSG also accepts that </w:t>
      </w:r>
      <w:r w:rsidR="00E57085" w:rsidRPr="00097E81">
        <w:rPr>
          <w:bCs/>
          <w:lang w:val="en-GB"/>
        </w:rPr>
        <w:t>Dušan</w:t>
      </w:r>
      <w:r w:rsidRPr="00097E81">
        <w:rPr>
          <w:bCs/>
          <w:lang w:val="en-GB"/>
        </w:rPr>
        <w:t xml:space="preserve"> Jočić disappeared in life-threatening circumstances, which are not imputable to any of UNMIK’s agents. The SRSG likewise accepts that it was UNMIK’s responsibility to conduct an effective investigation into </w:t>
      </w:r>
      <w:r w:rsidR="00E57085" w:rsidRPr="00097E81">
        <w:rPr>
          <w:bCs/>
          <w:lang w:val="en-GB"/>
        </w:rPr>
        <w:t>his</w:t>
      </w:r>
      <w:r w:rsidRPr="00097E81">
        <w:rPr>
          <w:bCs/>
          <w:lang w:val="en-GB"/>
        </w:rPr>
        <w:t xml:space="preserve"> disappearance and eventual killing, in pursuit of a general goal to secure the effective implementation of the domestic laws which protect the right to life, as defined by UNMIK Regulation No. 1999/1 </w:t>
      </w:r>
      <w:r w:rsidRPr="00097E81">
        <w:rPr>
          <w:bCs/>
          <w:i/>
          <w:lang w:val="en-GB"/>
        </w:rPr>
        <w:t>On the Authority of the Interim Administration in Kosovo</w:t>
      </w:r>
      <w:r w:rsidRPr="00097E81">
        <w:rPr>
          <w:bCs/>
          <w:lang w:val="en-GB"/>
        </w:rPr>
        <w:t xml:space="preserve"> and subsequently, UNMIK Regulation 1999/24 </w:t>
      </w:r>
      <w:r w:rsidRPr="00097E81">
        <w:rPr>
          <w:bCs/>
          <w:i/>
          <w:lang w:val="en-GB"/>
        </w:rPr>
        <w:t>On the Law Applicable in Kosovo,</w:t>
      </w:r>
      <w:r w:rsidRPr="00097E81">
        <w:rPr>
          <w:bCs/>
          <w:lang w:val="en-GB"/>
        </w:rPr>
        <w:t xml:space="preserve"> and Article 2 of the ECHR.</w:t>
      </w:r>
    </w:p>
    <w:p w:rsidR="00FC789E" w:rsidRPr="00097E81" w:rsidRDefault="00FC789E" w:rsidP="00FC789E">
      <w:pPr>
        <w:pStyle w:val="MediumGrid1-Accent21"/>
        <w:rPr>
          <w:bCs/>
          <w:lang w:val="en-GB"/>
        </w:rPr>
      </w:pPr>
    </w:p>
    <w:p w:rsidR="00FC789E" w:rsidRPr="00097E81" w:rsidRDefault="00FC789E" w:rsidP="00FC789E">
      <w:pPr>
        <w:numPr>
          <w:ilvl w:val="0"/>
          <w:numId w:val="5"/>
        </w:numPr>
        <w:suppressAutoHyphens/>
        <w:autoSpaceDE w:val="0"/>
        <w:jc w:val="both"/>
        <w:rPr>
          <w:bCs/>
          <w:lang w:val="en-GB"/>
        </w:rPr>
      </w:pPr>
      <w:r w:rsidRPr="00097E81">
        <w:rPr>
          <w:bCs/>
          <w:lang w:val="en-GB"/>
        </w:rPr>
        <w:t xml:space="preserve">Having accepted the general responsibility to investigate, the SRSG however refers to the fact that the first mention of the disappearance of Dušan Jočić in the official UNMIK documentation is the Case Report, dated 16 August 2005 (see § </w:t>
      </w:r>
      <w:fldSimple w:instr=" REF _Ref347225196 \r \h  \* MERGEFORMAT ">
        <w:r w:rsidR="00F75BE2" w:rsidRPr="00097E81">
          <w:rPr>
            <w:bCs/>
            <w:lang w:val="en-GB"/>
          </w:rPr>
          <w:t>35</w:t>
        </w:r>
      </w:fldSimple>
      <w:r w:rsidRPr="00097E81">
        <w:rPr>
          <w:bCs/>
          <w:lang w:val="en-GB"/>
        </w:rPr>
        <w:t xml:space="preserve"> above). Therefore, he argues that that the disappearance of Dušan Jočić may not have been reported to UNMIK authorities on, or soon after, the day of his disappearance and that therefore UNMIK was not under any obligation to investigate this particular disappearance.</w:t>
      </w:r>
    </w:p>
    <w:p w:rsidR="00FC789E" w:rsidRPr="00097E81" w:rsidRDefault="00FC789E" w:rsidP="00FC789E">
      <w:pPr>
        <w:suppressAutoHyphens/>
        <w:autoSpaceDE w:val="0"/>
        <w:jc w:val="both"/>
        <w:rPr>
          <w:bCs/>
          <w:lang w:val="en-GB"/>
        </w:rPr>
      </w:pPr>
    </w:p>
    <w:p w:rsidR="00FC789E" w:rsidRPr="00097E81" w:rsidRDefault="00FC789E" w:rsidP="00FC789E">
      <w:pPr>
        <w:numPr>
          <w:ilvl w:val="0"/>
          <w:numId w:val="5"/>
        </w:numPr>
        <w:suppressAutoHyphens/>
        <w:autoSpaceDE w:val="0"/>
        <w:jc w:val="both"/>
      </w:pPr>
      <w:r w:rsidRPr="00097E81">
        <w:t xml:space="preserve">The SRSG further states that the Panel should also consider the fact that the disappearance of the complainant’s son occurred when the crime rate in Kosovo was “at its highest”, that is in June 1999, after the NATO bombing. According to the SRSG, during the </w:t>
      </w:r>
      <w:r w:rsidRPr="00097E81">
        <w:rPr>
          <w:bCs/>
          <w:lang w:val="en-GB"/>
        </w:rPr>
        <w:t>years</w:t>
      </w:r>
      <w:r w:rsidRPr="00097E81">
        <w:t xml:space="preserve"> 1999 and 2000 UNMIK received hundreds of reports on disappearances and killings of Kosovo Serbs, which were particularly challenging to investigate due to the limited resources as well as to a lack of leads,  as in the present case.</w:t>
      </w:r>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pPr>
      <w:r w:rsidRPr="00097E81">
        <w:t xml:space="preserve">As the UN does not have a standing police force of its own and has to rely on contributions of forces from UN member States, UNMIK had no control over the </w:t>
      </w:r>
      <w:r w:rsidRPr="00097E81">
        <w:rPr>
          <w:bCs/>
          <w:lang w:val="en-GB"/>
        </w:rPr>
        <w:t>recruitment</w:t>
      </w:r>
      <w:r w:rsidRPr="00097E81">
        <w:t xml:space="preserve"> of international police officers, who often had insufficient experience in investigating crimes with an inter-ethnic aspect in a post-conflict context. Similarly, the rotation of police officers, who were assigned only for periods of six months to one or two years, hampered the continuity of investigation. </w:t>
      </w:r>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pPr>
      <w:r w:rsidRPr="00097E81">
        <w:t xml:space="preserve">For these reasons, the SRSG argues “the standards set by the European Court of Human </w:t>
      </w:r>
      <w:r w:rsidRPr="00097E81">
        <w:rPr>
          <w:bCs/>
          <w:lang w:val="en-GB"/>
        </w:rPr>
        <w:t>Rights</w:t>
      </w:r>
      <w:r w:rsidRPr="00097E81">
        <w:t xml:space="preserve"> for an effective investigation cannot be the same for UNMIK as for a State with a functioning, well organized police apparatus in place and with police officers it can recruit, select and train”.</w:t>
      </w:r>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pPr>
      <w:r w:rsidRPr="00097E81">
        <w:t xml:space="preserve">The SRSG also submits that “some weight must also be attached to the fact that the mortal remains of Mr. Dušan </w:t>
      </w:r>
      <w:r w:rsidRPr="00097E81">
        <w:rPr>
          <w:bCs/>
          <w:lang w:val="en-GB"/>
        </w:rPr>
        <w:t xml:space="preserve">Jočić were eventually identified and returned to his family”, thus satisfying </w:t>
      </w:r>
      <w:r w:rsidRPr="00097E81">
        <w:t>the procedural requirement under Article 2 related to the obligation to locate and identify the mortal remains of a missing person. In this regard, the SRSG considers that “…UNMIK acted quickly by identifying bod[ies] … and arranging for the mortal remains … to be returned to his family.”</w:t>
      </w:r>
    </w:p>
    <w:p w:rsidR="00FC789E" w:rsidRPr="00097E81" w:rsidRDefault="00FC789E" w:rsidP="00FC789E">
      <w:pPr>
        <w:pStyle w:val="MediumGrid1-Accent21"/>
      </w:pPr>
    </w:p>
    <w:p w:rsidR="00FC789E" w:rsidRPr="00097E81" w:rsidRDefault="00FC789E" w:rsidP="00FC789E">
      <w:pPr>
        <w:numPr>
          <w:ilvl w:val="0"/>
          <w:numId w:val="5"/>
        </w:numPr>
        <w:suppressAutoHyphens/>
        <w:jc w:val="both"/>
      </w:pPr>
      <w:r w:rsidRPr="00097E81">
        <w:t>The SRSG accepts that “based on the paucity of information that was made available” it is not possible to assert “with the requisite amount of certainty whether the investigation aimed at bringing the perpetrators of the killing[s] to justice could be considered effective in the sense of Article 2, ECHR.” Nevertheless, the SRSG concludes that there has not been a violation of Article 2 of the ECHR.</w:t>
      </w:r>
    </w:p>
    <w:p w:rsidR="00FC789E" w:rsidRPr="00097E81" w:rsidRDefault="00FC789E" w:rsidP="00FC789E">
      <w:pPr>
        <w:suppressAutoHyphens/>
        <w:autoSpaceDE w:val="0"/>
        <w:jc w:val="both"/>
      </w:pPr>
    </w:p>
    <w:p w:rsidR="00FC789E" w:rsidRPr="00097E81" w:rsidRDefault="00FC789E" w:rsidP="00FC789E">
      <w:pPr>
        <w:pStyle w:val="MediumGrid1-Accent21"/>
        <w:numPr>
          <w:ilvl w:val="1"/>
          <w:numId w:val="16"/>
        </w:numPr>
        <w:tabs>
          <w:tab w:val="clear" w:pos="-720"/>
          <w:tab w:val="num" w:pos="360"/>
        </w:tabs>
        <w:suppressAutoHyphens w:val="0"/>
        <w:ind w:left="360"/>
        <w:contextualSpacing/>
        <w:rPr>
          <w:b/>
          <w:bCs/>
          <w:lang w:val="en-GB"/>
        </w:rPr>
      </w:pPr>
      <w:r w:rsidRPr="00097E81">
        <w:rPr>
          <w:b/>
          <w:bCs/>
          <w:lang w:val="en-GB"/>
        </w:rPr>
        <w:t>The Panel’s assessment</w:t>
      </w:r>
    </w:p>
    <w:p w:rsidR="00FC789E" w:rsidRPr="00097E81" w:rsidRDefault="00FC789E" w:rsidP="00FC789E">
      <w:pPr>
        <w:ind w:left="720"/>
        <w:jc w:val="both"/>
      </w:pPr>
    </w:p>
    <w:p w:rsidR="00FC789E" w:rsidRPr="00097E81" w:rsidRDefault="00FC789E" w:rsidP="00FC789E">
      <w:pPr>
        <w:pStyle w:val="MediumGrid1-Accent21"/>
        <w:numPr>
          <w:ilvl w:val="0"/>
          <w:numId w:val="17"/>
        </w:numPr>
        <w:suppressAutoHyphens w:val="0"/>
        <w:ind w:left="360"/>
        <w:contextualSpacing/>
        <w:jc w:val="both"/>
        <w:rPr>
          <w:i/>
          <w:color w:val="000000"/>
          <w:lang w:eastAsia="en-US"/>
        </w:rPr>
      </w:pPr>
      <w:r w:rsidRPr="00097E81">
        <w:rPr>
          <w:i/>
          <w:color w:val="000000"/>
          <w:lang w:eastAsia="en-US"/>
        </w:rPr>
        <w:t>Submission of relevant files</w:t>
      </w:r>
    </w:p>
    <w:p w:rsidR="00FC789E" w:rsidRPr="00097E81" w:rsidRDefault="00FC789E" w:rsidP="00FC789E"/>
    <w:p w:rsidR="00FC789E" w:rsidRPr="00097E81" w:rsidRDefault="00FC789E" w:rsidP="00FC789E">
      <w:pPr>
        <w:numPr>
          <w:ilvl w:val="0"/>
          <w:numId w:val="5"/>
        </w:numPr>
        <w:suppressAutoHyphens/>
        <w:autoSpaceDE w:val="0"/>
        <w:jc w:val="both"/>
      </w:pPr>
      <w:bookmarkStart w:id="23" w:name="_Ref354590473"/>
      <w:r w:rsidRPr="00097E81">
        <w:rPr>
          <w:lang w:val="en-GB"/>
        </w:rPr>
        <w:t xml:space="preserve">The </w:t>
      </w:r>
      <w:r w:rsidRPr="00097E81">
        <w:rPr>
          <w:bCs/>
          <w:lang w:val="en-GB"/>
        </w:rPr>
        <w:t>SRSG</w:t>
      </w:r>
      <w:r w:rsidRPr="00097E81">
        <w:rPr>
          <w:lang w:val="en-GB"/>
        </w:rPr>
        <w:t xml:space="preserve"> provided the Panel with copies of all available investigative and other relevant documents on 21 September 2011. </w:t>
      </w:r>
      <w:r w:rsidRPr="00097E81">
        <w:t xml:space="preserve">However, the </w:t>
      </w:r>
      <w:r w:rsidRPr="00097E81">
        <w:rPr>
          <w:lang w:val="en-GB"/>
        </w:rPr>
        <w:t>SRSG</w:t>
      </w:r>
      <w:r w:rsidRPr="00097E81">
        <w:t xml:space="preserve"> noted that there is a possibility that more documents related to this case may exist (see § </w:t>
      </w:r>
      <w:fldSimple w:instr=" REF _Ref348357381 \r \h  \* MERGEFORMAT ">
        <w:r w:rsidR="00F75BE2" w:rsidRPr="00097E81">
          <w:t>27</w:t>
        </w:r>
      </w:fldSimple>
      <w:r w:rsidRPr="00097E81">
        <w:t xml:space="preserve"> above).</w:t>
      </w:r>
      <w:bookmarkEnd w:id="23"/>
    </w:p>
    <w:p w:rsidR="00FC789E" w:rsidRPr="00097E81" w:rsidRDefault="00FC789E" w:rsidP="00FC789E">
      <w:pPr>
        <w:suppressAutoHyphens/>
        <w:ind w:left="360"/>
        <w:jc w:val="both"/>
      </w:pPr>
    </w:p>
    <w:p w:rsidR="00FC789E" w:rsidRPr="00097E81" w:rsidRDefault="00FC789E" w:rsidP="00FC789E">
      <w:pPr>
        <w:numPr>
          <w:ilvl w:val="0"/>
          <w:numId w:val="5"/>
        </w:numPr>
        <w:suppressAutoHyphens/>
        <w:autoSpaceDE w:val="0"/>
        <w:jc w:val="both"/>
      </w:pPr>
      <w:r w:rsidRPr="00097E81">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097E81">
        <w:rPr>
          <w:rStyle w:val="s7d2086b4"/>
          <w:i/>
        </w:rPr>
        <w:t xml:space="preserve">Çelikbilek </w:t>
      </w:r>
      <w:r w:rsidRPr="00097E81">
        <w:rPr>
          <w:i/>
        </w:rPr>
        <w:t>v. Turkey</w:t>
      </w:r>
      <w:r w:rsidRPr="00097E81">
        <w:t xml:space="preserve">, </w:t>
      </w:r>
      <w:r w:rsidRPr="00097E81">
        <w:rPr>
          <w:color w:val="000000"/>
          <w:lang w:eastAsia="nl-BE"/>
        </w:rPr>
        <w:t>no. 27693/95, judgment of 31 May 2005</w:t>
      </w:r>
      <w:r w:rsidRPr="00097E81">
        <w:rPr>
          <w:i/>
          <w:iCs/>
          <w:color w:val="000000"/>
          <w:lang w:eastAsia="nl-BE"/>
        </w:rPr>
        <w:t>,</w:t>
      </w:r>
      <w:r w:rsidRPr="00097E81">
        <w:rPr>
          <w:iCs/>
          <w:color w:val="000000"/>
          <w:lang w:eastAsia="nl-BE"/>
        </w:rPr>
        <w:t xml:space="preserve"> § 56).</w:t>
      </w:r>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pPr>
      <w:r w:rsidRPr="00097E81">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097E81">
        <w:rPr>
          <w:i/>
        </w:rPr>
        <w:t>per se</w:t>
      </w:r>
      <w:r w:rsidRPr="00097E81">
        <w:t xml:space="preserve"> issues under Article 2. The Panel likewise notes that UNMIK has not provided any explanation as to why the documentation may be incomplete, nor with respect to which parts. </w:t>
      </w:r>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pPr>
      <w:r w:rsidRPr="00097E81">
        <w:t xml:space="preserve">The Panel itself is not in the position to verify the completeness of the investigative files received. The Panel will therefore assess the merits of the complaint on the basis of documents made available (in this sense, see ECtHR, </w:t>
      </w:r>
      <w:r w:rsidRPr="00097E81">
        <w:rPr>
          <w:i/>
        </w:rPr>
        <w:t>Tsechoyev v. Russia</w:t>
      </w:r>
      <w:r w:rsidRPr="00097E81">
        <w:t>, no. 39358/05, judgment of</w:t>
      </w:r>
      <w:r w:rsidRPr="00097E81">
        <w:rPr>
          <w:i/>
        </w:rPr>
        <w:t xml:space="preserve"> </w:t>
      </w:r>
      <w:r w:rsidRPr="00097E81">
        <w:t xml:space="preserve">15 March 2011, § 146). </w:t>
      </w:r>
    </w:p>
    <w:p w:rsidR="00FC789E" w:rsidRPr="00097E81" w:rsidRDefault="00FC789E" w:rsidP="00FC789E">
      <w:pPr>
        <w:suppressAutoHyphens/>
        <w:autoSpaceDE w:val="0"/>
        <w:jc w:val="both"/>
        <w:rPr>
          <w:bCs/>
        </w:rPr>
      </w:pPr>
    </w:p>
    <w:p w:rsidR="00FC789E" w:rsidRPr="00097E81" w:rsidRDefault="00FC789E" w:rsidP="00FC789E">
      <w:pPr>
        <w:pStyle w:val="MediumGrid1-Accent21"/>
        <w:numPr>
          <w:ilvl w:val="0"/>
          <w:numId w:val="17"/>
        </w:numPr>
        <w:suppressAutoHyphens w:val="0"/>
        <w:ind w:left="360"/>
        <w:contextualSpacing/>
        <w:jc w:val="both"/>
        <w:rPr>
          <w:i/>
          <w:color w:val="000000"/>
          <w:lang w:eastAsia="en-US"/>
        </w:rPr>
      </w:pPr>
      <w:r w:rsidRPr="00097E81">
        <w:rPr>
          <w:i/>
          <w:color w:val="000000"/>
          <w:lang w:eastAsia="en-US"/>
        </w:rPr>
        <w:t>General principles concerning the obligation to conduct an effective investigation under Article 2</w:t>
      </w:r>
    </w:p>
    <w:p w:rsidR="00F963CB" w:rsidRPr="00097E81" w:rsidRDefault="00F963CB" w:rsidP="00FC789E">
      <w:pPr>
        <w:jc w:val="both"/>
        <w:rPr>
          <w:color w:val="000000"/>
        </w:rPr>
      </w:pPr>
    </w:p>
    <w:p w:rsidR="009A5F4E" w:rsidRPr="00097E81" w:rsidRDefault="009A5F4E" w:rsidP="009A5F4E">
      <w:pPr>
        <w:numPr>
          <w:ilvl w:val="0"/>
          <w:numId w:val="5"/>
        </w:numPr>
        <w:tabs>
          <w:tab w:val="left" w:pos="360"/>
          <w:tab w:val="num" w:pos="810"/>
        </w:tabs>
        <w:suppressAutoHyphens/>
        <w:autoSpaceDE w:val="0"/>
        <w:jc w:val="both"/>
        <w:rPr>
          <w:lang w:val="en-GB"/>
        </w:rPr>
      </w:pPr>
      <w:bookmarkStart w:id="24" w:name="_Ref347993393"/>
      <w:r w:rsidRPr="00097E81">
        <w:rPr>
          <w:lang w:val="en-GB"/>
        </w:rPr>
        <w:t xml:space="preserve">First, the Panel considers that the lack of any investigative files raises issues of the burden of proof. In this regard, the Panel refers to the approach of the </w:t>
      </w:r>
      <w:r w:rsidRPr="00097E81">
        <w:rPr>
          <w:color w:val="000000"/>
        </w:rPr>
        <w:t>European Court on Human Rights as well as of the United Nations Human Rights Committee (HRC) on the matter</w:t>
      </w:r>
      <w:r w:rsidRPr="00097E81">
        <w:rPr>
          <w:lang w:val="en-GB"/>
        </w:rPr>
        <w:t>. The general rule is that it is for the party who asserts a proposition of fact to prove it, but that this is not a rigid rule.</w:t>
      </w:r>
      <w:bookmarkEnd w:id="24"/>
    </w:p>
    <w:p w:rsidR="009A5F4E" w:rsidRPr="00097E81" w:rsidRDefault="009A5F4E" w:rsidP="009A5F4E">
      <w:pPr>
        <w:tabs>
          <w:tab w:val="left" w:pos="360"/>
        </w:tabs>
        <w:suppressAutoHyphens/>
        <w:autoSpaceDE w:val="0"/>
        <w:ind w:left="360" w:hanging="360"/>
        <w:jc w:val="both"/>
        <w:rPr>
          <w:lang w:val="en-GB"/>
        </w:rPr>
      </w:pPr>
    </w:p>
    <w:p w:rsidR="009A5F4E" w:rsidRPr="00097E81" w:rsidRDefault="009A5F4E" w:rsidP="009A5F4E">
      <w:pPr>
        <w:numPr>
          <w:ilvl w:val="0"/>
          <w:numId w:val="5"/>
        </w:numPr>
        <w:tabs>
          <w:tab w:val="left" w:pos="360"/>
          <w:tab w:val="num" w:pos="810"/>
        </w:tabs>
        <w:suppressAutoHyphens/>
        <w:autoSpaceDE w:val="0"/>
        <w:jc w:val="both"/>
        <w:rPr>
          <w:b/>
          <w:lang w:val="en-GB"/>
        </w:rPr>
      </w:pPr>
      <w:bookmarkStart w:id="25" w:name="_Ref342296805"/>
      <w:r w:rsidRPr="00097E81">
        <w:rPr>
          <w:lang w:val="en-GB"/>
        </w:rPr>
        <w:t xml:space="preserve">Following this general rule, at the admissibility stage an applicant must present facts, which are supportive of the allegations of the State’s responsibility, that is, to establish a </w:t>
      </w:r>
      <w:r w:rsidRPr="00097E81">
        <w:rPr>
          <w:i/>
          <w:lang w:val="en-GB"/>
        </w:rPr>
        <w:t>prima facie</w:t>
      </w:r>
      <w:r w:rsidRPr="00097E81">
        <w:rPr>
          <w:lang w:val="en-GB"/>
        </w:rPr>
        <w:t xml:space="preserve"> case against the authorities (see, </w:t>
      </w:r>
      <w:r w:rsidRPr="00097E81">
        <w:rPr>
          <w:i/>
          <w:lang w:val="en-GB"/>
        </w:rPr>
        <w:t>mutatis mutandis</w:t>
      </w:r>
      <w:r w:rsidRPr="00097E81">
        <w:rPr>
          <w:lang w:val="en-GB"/>
        </w:rPr>
        <w:t xml:space="preserve">, ECtHR, </w:t>
      </w:r>
      <w:r w:rsidRPr="00097E81">
        <w:rPr>
          <w:i/>
          <w:iCs/>
        </w:rPr>
        <w:t>Artico v. Italy</w:t>
      </w:r>
      <w:r w:rsidRPr="00097E81">
        <w:t xml:space="preserve">, no. 6694/74, judgment of 13 May 1980, §§ 29-30, Series A no. 37; ECtHR, </w:t>
      </w:r>
      <w:r w:rsidRPr="00097E81">
        <w:rPr>
          <w:i/>
        </w:rPr>
        <w:t>Toğcu v. Turkey</w:t>
      </w:r>
      <w:r w:rsidRPr="00097E81">
        <w:t xml:space="preserve">, no. 27601/95, judgment of 31 May 2005, § 95). However, the European Court further holds that </w:t>
      </w:r>
      <w:r w:rsidRPr="00097E81">
        <w:rPr>
          <w:lang w:val="en-GB"/>
        </w:rPr>
        <w:t xml:space="preserve">“... </w:t>
      </w:r>
      <w:r w:rsidRPr="00097E81">
        <w:t>where the events in issue lie wholly, or in large part, within the exclusive knowledge of the authorities … The burden of proof may then be regarded as resting on the authorities to provide a satisfactory and convincing explanation” (</w:t>
      </w:r>
      <w:r w:rsidRPr="00097E81">
        <w:rPr>
          <w:lang w:val="en-GB"/>
        </w:rPr>
        <w:t xml:space="preserve">see ECtHR [GC], </w:t>
      </w:r>
      <w:r w:rsidRPr="00097E81">
        <w:rPr>
          <w:i/>
          <w:iCs/>
        </w:rPr>
        <w:t>Varnava and Others v Turkey</w:t>
      </w:r>
      <w:r w:rsidRPr="00097E81">
        <w:rPr>
          <w:iCs/>
        </w:rPr>
        <w:t>,</w:t>
      </w:r>
      <w:r w:rsidRPr="00097E81">
        <w:rPr>
          <w:i/>
          <w:iCs/>
        </w:rPr>
        <w:t xml:space="preserve"> </w:t>
      </w:r>
      <w:r w:rsidRPr="00097E81">
        <w:t xml:space="preserve">cited above in § </w:t>
      </w:r>
      <w:fldSimple w:instr=" REF _Ref346123885 \r \h  \* MERGEFORMAT ">
        <w:r w:rsidR="00F75BE2" w:rsidRPr="00097E81">
          <w:t>47</w:t>
        </w:r>
      </w:fldSimple>
      <w:r w:rsidRPr="00097E81">
        <w:t>, at §§ 183-184).</w:t>
      </w:r>
      <w:bookmarkEnd w:id="25"/>
    </w:p>
    <w:p w:rsidR="009A5F4E" w:rsidRPr="00097E81" w:rsidRDefault="009A5F4E" w:rsidP="009A5F4E">
      <w:pPr>
        <w:tabs>
          <w:tab w:val="left" w:pos="360"/>
        </w:tabs>
        <w:suppressAutoHyphens/>
        <w:autoSpaceDE w:val="0"/>
        <w:ind w:left="360" w:hanging="360"/>
        <w:jc w:val="both"/>
        <w:rPr>
          <w:b/>
          <w:lang w:val="en-GB"/>
        </w:rPr>
      </w:pPr>
    </w:p>
    <w:p w:rsidR="009A5F4E" w:rsidRPr="00097E81" w:rsidRDefault="009A5F4E" w:rsidP="009A5F4E">
      <w:pPr>
        <w:numPr>
          <w:ilvl w:val="0"/>
          <w:numId w:val="5"/>
        </w:numPr>
        <w:tabs>
          <w:tab w:val="left" w:pos="360"/>
          <w:tab w:val="num" w:pos="810"/>
        </w:tabs>
        <w:suppressAutoHyphens/>
        <w:autoSpaceDE w:val="0"/>
        <w:jc w:val="both"/>
        <w:rPr>
          <w:lang w:val="en-GB"/>
        </w:rPr>
      </w:pPr>
      <w:bookmarkStart w:id="26" w:name="_Ref354502773"/>
      <w:r w:rsidRPr="00097E81">
        <w:rPr>
          <w:lang w:val="en-GB"/>
        </w:rPr>
        <w:t xml:space="preserve">The European Court also states that “... </w:t>
      </w:r>
      <w:r w:rsidRPr="00097E81">
        <w:t xml:space="preserve">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097E81">
        <w:rPr>
          <w:i/>
          <w:iCs/>
        </w:rPr>
        <w:t>Akkum and Others v. Turkey</w:t>
      </w:r>
      <w:r w:rsidRPr="00097E81">
        <w:t>,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w:t>
      </w:r>
      <w:r w:rsidRPr="00097E81">
        <w:rPr>
          <w:lang w:val="en-GB"/>
        </w:rPr>
        <w:t xml:space="preserve">see ECtHR, </w:t>
      </w:r>
      <w:r w:rsidRPr="00097E81">
        <w:rPr>
          <w:i/>
          <w:iCs/>
        </w:rPr>
        <w:t>Varnava and Others v Turkey</w:t>
      </w:r>
      <w:r w:rsidRPr="00097E81">
        <w:rPr>
          <w:iCs/>
        </w:rPr>
        <w:t xml:space="preserve"> [GC],</w:t>
      </w:r>
      <w:r w:rsidRPr="00097E81">
        <w:rPr>
          <w:i/>
          <w:iCs/>
        </w:rPr>
        <w:t xml:space="preserve"> </w:t>
      </w:r>
      <w:r w:rsidRPr="00097E81">
        <w:t xml:space="preserve">cited above in § </w:t>
      </w:r>
      <w:fldSimple w:instr=" REF _Ref346123885 \r \h  \* MERGEFORMAT ">
        <w:r w:rsidR="00F75BE2" w:rsidRPr="00097E81">
          <w:t>47</w:t>
        </w:r>
      </w:fldSimple>
      <w:r w:rsidRPr="00097E81">
        <w:t>, at § 184;</w:t>
      </w:r>
      <w:r w:rsidRPr="00097E81">
        <w:rPr>
          <w:lang w:val="en-GB"/>
        </w:rPr>
        <w:t xml:space="preserve"> see also</w:t>
      </w:r>
      <w:r w:rsidRPr="00097E81">
        <w:t>, HRC,</w:t>
      </w:r>
      <w:r w:rsidRPr="00097E81">
        <w:rPr>
          <w:i/>
        </w:rPr>
        <w:t xml:space="preserve"> Benaniza v </w:t>
      </w:r>
      <w:r w:rsidRPr="00097E81">
        <w:rPr>
          <w:i/>
          <w:lang w:val="en-GB"/>
        </w:rPr>
        <w:t>Algeria,</w:t>
      </w:r>
      <w:r w:rsidRPr="00097E81">
        <w:rPr>
          <w:lang w:val="en-GB"/>
        </w:rPr>
        <w:t xml:space="preserve"> Views</w:t>
      </w:r>
      <w:r w:rsidRPr="00097E81">
        <w:t xml:space="preserve"> of 26 July 2010, § 9.4, CCPR/C/99/D/1588/2007; HRC,</w:t>
      </w:r>
      <w:r w:rsidRPr="00097E81">
        <w:rPr>
          <w:i/>
        </w:rPr>
        <w:t xml:space="preserve"> Bashasha</w:t>
      </w:r>
      <w:r w:rsidRPr="00097E81">
        <w:rPr>
          <w:i/>
          <w:color w:val="000000"/>
        </w:rPr>
        <w:t xml:space="preserve"> v. Libyan Arab Jamahiriya</w:t>
      </w:r>
      <w:r w:rsidRPr="00097E81">
        <w:rPr>
          <w:color w:val="000000"/>
        </w:rPr>
        <w:t>, Views of 20 October 2010, § 7.2, CCPR/C/100/D/1776/2008).</w:t>
      </w:r>
      <w:bookmarkEnd w:id="26"/>
    </w:p>
    <w:p w:rsidR="009A5F4E" w:rsidRPr="00097E81" w:rsidRDefault="009A5F4E" w:rsidP="009A5F4E">
      <w:pPr>
        <w:tabs>
          <w:tab w:val="left" w:pos="360"/>
        </w:tabs>
        <w:suppressAutoHyphens/>
        <w:autoSpaceDE w:val="0"/>
        <w:ind w:left="360" w:hanging="360"/>
        <w:jc w:val="both"/>
        <w:rPr>
          <w:lang w:val="en-GB"/>
        </w:rPr>
      </w:pPr>
    </w:p>
    <w:p w:rsidR="009A5F4E" w:rsidRPr="00097E81" w:rsidRDefault="009A5F4E" w:rsidP="009A5F4E">
      <w:pPr>
        <w:numPr>
          <w:ilvl w:val="0"/>
          <w:numId w:val="5"/>
        </w:numPr>
        <w:tabs>
          <w:tab w:val="left" w:pos="360"/>
          <w:tab w:val="num" w:pos="810"/>
        </w:tabs>
        <w:suppressAutoHyphens/>
        <w:autoSpaceDE w:val="0"/>
        <w:jc w:val="both"/>
        <w:rPr>
          <w:lang w:val="en-GB"/>
        </w:rPr>
      </w:pPr>
      <w:bookmarkStart w:id="27" w:name="_Ref354409930"/>
      <w:r w:rsidRPr="00097E81">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097E81">
        <w:rPr>
          <w:color w:val="000000"/>
          <w:lang w:val="en-GB"/>
        </w:rPr>
        <w:t>strong</w:t>
      </w:r>
      <w:r w:rsidRPr="00097E81">
        <w:rPr>
          <w:lang w:val="en-GB"/>
        </w:rPr>
        <w:t xml:space="preserve"> inferences” may be drawn from lack of documentation</w:t>
      </w:r>
      <w:r w:rsidRPr="00097E81">
        <w:t xml:space="preserve"> </w:t>
      </w:r>
      <w:r w:rsidRPr="00097E81">
        <w:rPr>
          <w:lang w:val="en-GB"/>
        </w:rPr>
        <w:t>is applicable.</w:t>
      </w:r>
      <w:bookmarkEnd w:id="27"/>
    </w:p>
    <w:p w:rsidR="00F963CB" w:rsidRPr="00097E81" w:rsidRDefault="00F963CB" w:rsidP="00F963CB">
      <w:pPr>
        <w:pStyle w:val="ListParagraph"/>
        <w:rPr>
          <w:lang w:val="en-GB"/>
        </w:rPr>
      </w:pPr>
    </w:p>
    <w:p w:rsidR="00F963CB" w:rsidRPr="00097E81" w:rsidRDefault="009A5F4E" w:rsidP="00FC789E">
      <w:pPr>
        <w:numPr>
          <w:ilvl w:val="0"/>
          <w:numId w:val="5"/>
        </w:numPr>
        <w:suppressAutoHyphens/>
        <w:autoSpaceDE w:val="0"/>
        <w:jc w:val="both"/>
        <w:rPr>
          <w:i/>
          <w:color w:val="000000"/>
        </w:rPr>
      </w:pPr>
      <w:bookmarkStart w:id="28" w:name="_Ref348539776"/>
      <w:r w:rsidRPr="00097E81">
        <w:rPr>
          <w:color w:val="000000"/>
        </w:rPr>
        <w:t>Second, t</w:t>
      </w:r>
      <w:r w:rsidR="00FC789E" w:rsidRPr="00097E81">
        <w:rPr>
          <w:color w:val="000000"/>
        </w:rPr>
        <w:t xml:space="preserve">he Panel notes that the positive obligation to investigate disappearances is widely accepted in international human rights law since at least the case of the Inter-American Court of Human Rights </w:t>
      </w:r>
      <w:r w:rsidR="00FC789E" w:rsidRPr="00097E81">
        <w:rPr>
          <w:i/>
          <w:color w:val="000000"/>
        </w:rPr>
        <w:t xml:space="preserve">Velásquez-Rodríguez </w:t>
      </w:r>
      <w:r w:rsidR="00FC789E" w:rsidRPr="00097E81">
        <w:rPr>
          <w:color w:val="000000"/>
        </w:rPr>
        <w:t xml:space="preserve">(see Inter-American Court of Human Rights (IACtHR), </w:t>
      </w:r>
      <w:r w:rsidR="00FC789E" w:rsidRPr="00097E81">
        <w:rPr>
          <w:i/>
          <w:color w:val="000000"/>
        </w:rPr>
        <w:t>Velásquez-Rodríguez v. Honduras</w:t>
      </w:r>
      <w:r w:rsidR="00FC789E" w:rsidRPr="00097E81">
        <w:rPr>
          <w:color w:val="000000"/>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w:t>
      </w:r>
      <w:r w:rsidR="00FC789E" w:rsidRPr="00097E81">
        <w:rPr>
          <w:lang w:val="en-GB"/>
        </w:rPr>
        <w:t>effective</w:t>
      </w:r>
      <w:r w:rsidR="00FC789E" w:rsidRPr="00097E81">
        <w:rPr>
          <w:color w:val="000000"/>
        </w:rPr>
        <w:t xml:space="preserve"> remedy) of the International Covenant on Civil and Political Rights (CCPR) (see HRC, General Comment No. 6, 30 April 1982, § 4; HRC, General Comment No. 31, 26 May 2004, §§ 8 and 18, CCPR/C/21/Rev.1/Add. 13; see also, among others, HRC, </w:t>
      </w:r>
      <w:r w:rsidR="00FC789E" w:rsidRPr="00097E81">
        <w:rPr>
          <w:i/>
          <w:color w:val="000000"/>
        </w:rPr>
        <w:t>Mohamed El Awani, v. Libyan Arab Jamahiriya</w:t>
      </w:r>
      <w:r w:rsidR="00FC789E" w:rsidRPr="00097E81">
        <w:rPr>
          <w:color w:val="000000"/>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8"/>
    </w:p>
    <w:p w:rsidR="00FC789E" w:rsidRPr="00097E81" w:rsidRDefault="00FC789E" w:rsidP="00FC789E">
      <w:pPr>
        <w:pStyle w:val="MediumGrid1-Accent21"/>
        <w:ind w:left="360"/>
        <w:jc w:val="both"/>
        <w:rPr>
          <w:color w:val="000000"/>
          <w:lang w:eastAsia="en-US"/>
        </w:rPr>
      </w:pPr>
    </w:p>
    <w:p w:rsidR="00FC789E" w:rsidRPr="00097E81" w:rsidRDefault="00FC789E" w:rsidP="00FC789E">
      <w:pPr>
        <w:numPr>
          <w:ilvl w:val="0"/>
          <w:numId w:val="5"/>
        </w:numPr>
        <w:tabs>
          <w:tab w:val="left" w:pos="360"/>
          <w:tab w:val="num" w:pos="630"/>
        </w:tabs>
        <w:suppressAutoHyphens/>
        <w:autoSpaceDE w:val="0"/>
        <w:jc w:val="both"/>
        <w:rPr>
          <w:color w:val="000000"/>
        </w:rPr>
      </w:pPr>
      <w:bookmarkStart w:id="29" w:name="_Ref347561805"/>
      <w:r w:rsidRPr="00097E81">
        <w:rPr>
          <w:color w:val="000000"/>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w:t>
      </w:r>
      <w:r w:rsidRPr="00097E81">
        <w:rPr>
          <w:lang w:val="en-GB"/>
        </w:rPr>
        <w:t>under</w:t>
      </w:r>
      <w:r w:rsidRPr="00097E81">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097E81">
        <w:rPr>
          <w:i/>
          <w:color w:val="000000"/>
        </w:rPr>
        <w:t>mutatis mutandis</w:t>
      </w:r>
      <w:r w:rsidRPr="00097E81">
        <w:rPr>
          <w:color w:val="000000"/>
        </w:rPr>
        <w:t xml:space="preserve">, ECtHR, </w:t>
      </w:r>
      <w:r w:rsidRPr="00097E81">
        <w:rPr>
          <w:i/>
          <w:color w:val="000000"/>
        </w:rPr>
        <w:t>McCann and Others v. the United Kingdom</w:t>
      </w:r>
      <w:r w:rsidRPr="00097E81">
        <w:rPr>
          <w:color w:val="000000"/>
        </w:rPr>
        <w:t xml:space="preserve">, judgment of 27 September 1995, § 161, Series A no. 324; and ECtHR, </w:t>
      </w:r>
      <w:r w:rsidRPr="00097E81">
        <w:rPr>
          <w:i/>
          <w:color w:val="000000"/>
        </w:rPr>
        <w:t>Kaya v. Turkey</w:t>
      </w:r>
      <w:r w:rsidRPr="00097E81">
        <w:rPr>
          <w:color w:val="000000"/>
        </w:rPr>
        <w:t xml:space="preserve">, judgment of 19 February 1998, § 105, Reports 1998-I; see also ECtHR, </w:t>
      </w:r>
      <w:r w:rsidRPr="00097E81">
        <w:rPr>
          <w:i/>
          <w:color w:val="000000"/>
        </w:rPr>
        <w:t>Jasinskis v. Latvia</w:t>
      </w:r>
      <w:r w:rsidRPr="00097E81">
        <w:rPr>
          <w:color w:val="000000"/>
        </w:rPr>
        <w:t xml:space="preserve">, no. 45744/08, judgment of 21 December 2010, § 71). The duty to conduct such an investigation arises in all cases of killing and other suspicious death, whether the perpetrators were private persons or State agents or are unknown (see ECtHR, </w:t>
      </w:r>
      <w:r w:rsidRPr="00097E81">
        <w:rPr>
          <w:i/>
          <w:color w:val="000000"/>
        </w:rPr>
        <w:t>Kolevi v. Bulgaria</w:t>
      </w:r>
      <w:r w:rsidRPr="00097E81">
        <w:rPr>
          <w:color w:val="000000"/>
        </w:rPr>
        <w:t>, no. 1108/02, judgment of 5 November 2009, § 191).</w:t>
      </w:r>
      <w:bookmarkEnd w:id="29"/>
    </w:p>
    <w:p w:rsidR="00FC789E" w:rsidRPr="00097E81" w:rsidRDefault="00FC789E" w:rsidP="00FC789E">
      <w:pPr>
        <w:jc w:val="both"/>
        <w:rPr>
          <w:color w:val="000000"/>
        </w:rPr>
      </w:pPr>
    </w:p>
    <w:p w:rsidR="00FC789E" w:rsidRPr="00097E81" w:rsidRDefault="00FC789E" w:rsidP="00FC789E">
      <w:pPr>
        <w:numPr>
          <w:ilvl w:val="0"/>
          <w:numId w:val="5"/>
        </w:numPr>
        <w:suppressAutoHyphens/>
        <w:autoSpaceDE w:val="0"/>
        <w:jc w:val="both"/>
        <w:rPr>
          <w:color w:val="000000"/>
        </w:rPr>
      </w:pPr>
      <w:r w:rsidRPr="00097E81">
        <w:rPr>
          <w:color w:val="000000"/>
        </w:rPr>
        <w:t xml:space="preserve">The European Court has also stated that the procedural obligation to provide some form of effective </w:t>
      </w:r>
      <w:r w:rsidRPr="00097E81">
        <w:rPr>
          <w:lang w:val="en-GB"/>
        </w:rPr>
        <w:t>official</w:t>
      </w:r>
      <w:r w:rsidRPr="00097E81">
        <w:rPr>
          <w:color w:val="000000"/>
        </w:rPr>
        <w:t xml:space="preserve"> investigation exists also when an individual has gone missing in life-threatening circumstances and is not confined to cases where it is apparent that the disappearance was caused by an agent of the State (see ECtHR [GC], </w:t>
      </w:r>
      <w:r w:rsidRPr="00097E81">
        <w:rPr>
          <w:i/>
          <w:color w:val="000000"/>
        </w:rPr>
        <w:t>Varnava and Others v. Turkey</w:t>
      </w:r>
      <w:r w:rsidRPr="00097E81">
        <w:rPr>
          <w:color w:val="000000"/>
        </w:rPr>
        <w:t>,</w:t>
      </w:r>
      <w:r w:rsidRPr="00097E81">
        <w:t xml:space="preserve"> </w:t>
      </w:r>
      <w:r w:rsidRPr="00097E81">
        <w:rPr>
          <w:color w:val="000000"/>
        </w:rPr>
        <w:t xml:space="preserve">cited in § </w:t>
      </w:r>
      <w:fldSimple w:instr=" REF _Ref346123885 \r \h  \* MERGEFORMAT ">
        <w:r w:rsidR="00F75BE2" w:rsidRPr="00097E81">
          <w:rPr>
            <w:color w:val="000000"/>
          </w:rPr>
          <w:t>47</w:t>
        </w:r>
      </w:fldSimple>
      <w:r w:rsidRPr="00097E81">
        <w:rPr>
          <w:color w:val="000000"/>
        </w:rPr>
        <w:t xml:space="preserve"> above, at § 136).</w:t>
      </w:r>
    </w:p>
    <w:p w:rsidR="00FC789E" w:rsidRPr="00097E81" w:rsidRDefault="00FC789E" w:rsidP="00FC789E">
      <w:pPr>
        <w:rPr>
          <w:color w:val="000000"/>
        </w:rPr>
      </w:pPr>
    </w:p>
    <w:p w:rsidR="00FC789E" w:rsidRPr="00097E81" w:rsidRDefault="00FC789E" w:rsidP="00FC789E">
      <w:pPr>
        <w:numPr>
          <w:ilvl w:val="0"/>
          <w:numId w:val="5"/>
        </w:numPr>
        <w:suppressAutoHyphens/>
        <w:autoSpaceDE w:val="0"/>
        <w:jc w:val="both"/>
        <w:rPr>
          <w:color w:val="000000"/>
        </w:rPr>
      </w:pPr>
      <w:bookmarkStart w:id="30" w:name="_Ref346721519"/>
      <w:r w:rsidRPr="00097E81">
        <w:rPr>
          <w:color w:val="000000"/>
        </w:rPr>
        <w:t xml:space="preserve">The authorities must act of their own motion once the matter has come to their attention, and they cannot leave it to the initiative of the next-of-kin either to lodge a formal </w:t>
      </w:r>
      <w:r w:rsidRPr="00097E81">
        <w:rPr>
          <w:lang w:val="en-GB"/>
        </w:rPr>
        <w:t>complaint</w:t>
      </w:r>
      <w:r w:rsidRPr="00097E81">
        <w:rPr>
          <w:color w:val="000000"/>
        </w:rPr>
        <w:t xml:space="preserve"> or to take responsibility for the conduct of any investigative procedure (see ECtHR, </w:t>
      </w:r>
      <w:r w:rsidRPr="00097E81">
        <w:rPr>
          <w:i/>
          <w:color w:val="000000"/>
        </w:rPr>
        <w:t>Ahmet Özkan and Others v. Turkey</w:t>
      </w:r>
      <w:r w:rsidRPr="00097E81">
        <w:rPr>
          <w:color w:val="000000"/>
        </w:rPr>
        <w:t xml:space="preserve">, no. 21689/93, judgment of 6 April 2004, § 310, see also ECtHR, </w:t>
      </w:r>
      <w:r w:rsidRPr="00097E81">
        <w:rPr>
          <w:i/>
          <w:color w:val="000000"/>
        </w:rPr>
        <w:t>Isayeva v. Russia</w:t>
      </w:r>
      <w:r w:rsidRPr="00097E81">
        <w:rPr>
          <w:color w:val="000000"/>
        </w:rPr>
        <w:t>, no. 57950/00, judgment of 24 February 2005, § 210).</w:t>
      </w:r>
      <w:bookmarkEnd w:id="30"/>
      <w:r w:rsidRPr="00097E81">
        <w:rPr>
          <w:color w:val="000000"/>
        </w:rPr>
        <w:t xml:space="preserve"> </w:t>
      </w:r>
    </w:p>
    <w:p w:rsidR="00FC789E" w:rsidRPr="00097E81" w:rsidRDefault="00FC789E" w:rsidP="00FC789E">
      <w:pPr>
        <w:pStyle w:val="MediumGrid1-Accent21"/>
        <w:rPr>
          <w:color w:val="000000"/>
          <w:lang w:eastAsia="en-US"/>
        </w:rPr>
      </w:pPr>
    </w:p>
    <w:p w:rsidR="00FC789E" w:rsidRPr="00097E81" w:rsidRDefault="00FC789E" w:rsidP="00FC789E">
      <w:pPr>
        <w:numPr>
          <w:ilvl w:val="0"/>
          <w:numId w:val="5"/>
        </w:numPr>
        <w:tabs>
          <w:tab w:val="left" w:pos="360"/>
          <w:tab w:val="num" w:pos="630"/>
        </w:tabs>
        <w:suppressAutoHyphens/>
        <w:autoSpaceDE w:val="0"/>
        <w:jc w:val="both"/>
        <w:rPr>
          <w:color w:val="000000"/>
        </w:rPr>
      </w:pPr>
      <w:bookmarkStart w:id="31" w:name="_Ref346724174"/>
      <w:r w:rsidRPr="00097E81">
        <w:rPr>
          <w:color w:val="000000"/>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097E81">
        <w:rPr>
          <w:i/>
          <w:color w:val="000000"/>
        </w:rPr>
        <w:t>, Varnava and Others v. Turkey</w:t>
      </w:r>
      <w:r w:rsidRPr="00097E81">
        <w:rPr>
          <w:color w:val="000000"/>
        </w:rPr>
        <w:t xml:space="preserve">, cited in § </w:t>
      </w:r>
      <w:fldSimple w:instr=" REF _Ref346123885 \r \h  \* MERGEFORMAT ">
        <w:r w:rsidR="00F75BE2" w:rsidRPr="00097E81">
          <w:rPr>
            <w:color w:val="000000"/>
          </w:rPr>
          <w:t>47</w:t>
        </w:r>
      </w:fldSimple>
      <w:r w:rsidRPr="00097E81">
        <w:rPr>
          <w:color w:val="000000"/>
        </w:rPr>
        <w:t xml:space="preserve"> above, at § 191; see also ECtHR, </w:t>
      </w:r>
      <w:r w:rsidRPr="00097E81">
        <w:rPr>
          <w:i/>
          <w:color w:val="000000"/>
        </w:rPr>
        <w:t>Palić v. Bosnia and Herzegovina</w:t>
      </w:r>
      <w:r w:rsidRPr="00097E81">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097E81">
        <w:rPr>
          <w:i/>
          <w:color w:val="000000"/>
        </w:rPr>
        <w:t>Ahmet Özkan and Others v. Turkey</w:t>
      </w:r>
      <w:r w:rsidRPr="00097E81">
        <w:rPr>
          <w:color w:val="000000"/>
        </w:rPr>
        <w:t>, cited above, at § 312; and</w:t>
      </w:r>
      <w:r w:rsidRPr="00097E81">
        <w:rPr>
          <w:i/>
          <w:color w:val="000000"/>
        </w:rPr>
        <w:t xml:space="preserve"> Isayeva v. Russia</w:t>
      </w:r>
      <w:r w:rsidRPr="00097E81">
        <w:rPr>
          <w:color w:val="000000"/>
        </w:rPr>
        <w:t>, cited above, at § 212).</w:t>
      </w:r>
      <w:bookmarkEnd w:id="31"/>
    </w:p>
    <w:p w:rsidR="00FC789E" w:rsidRPr="00097E81" w:rsidRDefault="00FC789E" w:rsidP="00FC789E">
      <w:pPr>
        <w:pStyle w:val="MediumGrid1-Accent21"/>
        <w:ind w:left="360"/>
        <w:jc w:val="both"/>
        <w:rPr>
          <w:color w:val="000000"/>
          <w:lang w:eastAsia="en-US"/>
        </w:rPr>
      </w:pPr>
    </w:p>
    <w:p w:rsidR="00FC789E" w:rsidRPr="00097E81" w:rsidRDefault="00FC789E" w:rsidP="00FC789E">
      <w:pPr>
        <w:numPr>
          <w:ilvl w:val="0"/>
          <w:numId w:val="5"/>
        </w:numPr>
        <w:suppressAutoHyphens/>
        <w:autoSpaceDE w:val="0"/>
        <w:jc w:val="both"/>
        <w:rPr>
          <w:color w:val="000000"/>
        </w:rPr>
      </w:pPr>
      <w:r w:rsidRPr="00097E81">
        <w:rPr>
          <w:color w:val="000000"/>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097E81">
        <w:rPr>
          <w:i/>
          <w:color w:val="000000"/>
        </w:rPr>
        <w:t>Kolevi v. Bulgaria</w:t>
      </w:r>
      <w:r w:rsidRPr="00097E81">
        <w:rPr>
          <w:color w:val="000000"/>
        </w:rPr>
        <w:t xml:space="preserve">, cited in § </w:t>
      </w:r>
      <w:fldSimple w:instr=" REF _Ref347561805 \r \h  \* MERGEFORMAT ">
        <w:r w:rsidR="00F75BE2" w:rsidRPr="00097E81">
          <w:rPr>
            <w:color w:val="000000"/>
          </w:rPr>
          <w:t>66</w:t>
        </w:r>
      </w:fldSimple>
      <w:r w:rsidRPr="00097E81">
        <w:rPr>
          <w:color w:val="000000"/>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097E81">
        <w:rPr>
          <w:i/>
          <w:color w:val="000000"/>
        </w:rPr>
        <w:t>Velcea and Maz</w:t>
      </w:r>
      <w:r w:rsidRPr="00097E81">
        <w:rPr>
          <w:i/>
        </w:rPr>
        <w:t>ăre</w:t>
      </w:r>
      <w:r w:rsidRPr="00097E81">
        <w:t xml:space="preserve"> </w:t>
      </w:r>
      <w:r w:rsidRPr="00097E81">
        <w:rPr>
          <w:i/>
        </w:rPr>
        <w:t>v. Romania</w:t>
      </w:r>
      <w:r w:rsidRPr="00097E81">
        <w:t xml:space="preserve">, no. 64301/01, judgment of 1 December 2009, § 105). </w:t>
      </w:r>
    </w:p>
    <w:p w:rsidR="00FC789E" w:rsidRPr="00097E81" w:rsidRDefault="00FC789E" w:rsidP="00FC789E">
      <w:pPr>
        <w:pStyle w:val="MediumGrid1-Accent21"/>
        <w:ind w:left="360"/>
        <w:jc w:val="both"/>
        <w:rPr>
          <w:color w:val="000000"/>
          <w:lang w:eastAsia="en-US"/>
        </w:rPr>
      </w:pPr>
    </w:p>
    <w:p w:rsidR="00FC789E" w:rsidRPr="00097E81" w:rsidRDefault="00FC789E" w:rsidP="00FC789E">
      <w:pPr>
        <w:numPr>
          <w:ilvl w:val="0"/>
          <w:numId w:val="5"/>
        </w:numPr>
        <w:tabs>
          <w:tab w:val="left" w:pos="360"/>
          <w:tab w:val="num" w:pos="630"/>
        </w:tabs>
        <w:suppressAutoHyphens/>
        <w:autoSpaceDE w:val="0"/>
        <w:jc w:val="both"/>
        <w:rPr>
          <w:lang w:val="en-GB"/>
        </w:rPr>
      </w:pPr>
      <w:bookmarkStart w:id="32" w:name="_Ref342300077"/>
      <w:r w:rsidRPr="00097E81">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097E81">
        <w:rPr>
          <w:i/>
        </w:rPr>
        <w:t>Palić v. Bosnia and Herzegovina</w:t>
      </w:r>
      <w:r w:rsidRPr="00097E81">
        <w:t xml:space="preserve">, cited in § </w:t>
      </w:r>
      <w:fldSimple w:instr=" REF _Ref346724174 \r \h  \* MERGEFORMAT ">
        <w:r w:rsidR="00F75BE2" w:rsidRPr="00097E81">
          <w:t>69</w:t>
        </w:r>
      </w:fldSimple>
      <w:r w:rsidRPr="00097E81">
        <w:t xml:space="preserve"> above, at § 46; in the same sense ECtHR [GC], </w:t>
      </w:r>
      <w:r w:rsidRPr="00097E81">
        <w:rPr>
          <w:i/>
        </w:rPr>
        <w:t>Varnava and Others v. Turkey</w:t>
      </w:r>
      <w:r w:rsidRPr="00097E81">
        <w:t>, cited</w:t>
      </w:r>
      <w:r w:rsidRPr="00097E81">
        <w:rPr>
          <w:color w:val="000000"/>
        </w:rPr>
        <w:t xml:space="preserve"> in § </w:t>
      </w:r>
      <w:fldSimple w:instr=" REF _Ref346123885 \r \h  \* MERGEFORMAT ">
        <w:r w:rsidR="00F75BE2" w:rsidRPr="00097E81">
          <w:rPr>
            <w:color w:val="000000"/>
          </w:rPr>
          <w:t>47</w:t>
        </w:r>
      </w:fldSimple>
      <w:r w:rsidRPr="00097E81">
        <w:t xml:space="preserve"> </w:t>
      </w:r>
      <w:r w:rsidRPr="00097E81">
        <w:rPr>
          <w:color w:val="000000"/>
        </w:rPr>
        <w:t xml:space="preserve">above, at </w:t>
      </w:r>
      <w:r w:rsidRPr="00097E81">
        <w:t xml:space="preserve">§ 148, </w:t>
      </w:r>
      <w:r w:rsidRPr="00097E81">
        <w:rPr>
          <w:i/>
          <w:color w:val="000000"/>
        </w:rPr>
        <w:t>Aslakhanova and Others v. Russia</w:t>
      </w:r>
      <w:r w:rsidRPr="00097E81">
        <w:rPr>
          <w:color w:val="000000"/>
        </w:rPr>
        <w:t>, nos. 2944/06 and others, judgment of 18 December 2012, § 12</w:t>
      </w:r>
      <w:r w:rsidRPr="00097E81">
        <w:rPr>
          <w:rFonts w:cs="CAGLHH+TimesNewRoman"/>
          <w:color w:val="000000"/>
          <w:lang w:val="en-GB"/>
        </w:rPr>
        <w:t>2</w:t>
      </w:r>
      <w:r w:rsidRPr="00097E81">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097E81">
        <w:rPr>
          <w:i/>
        </w:rPr>
        <w:t>Palić v. Bosnia and Herzegovina</w:t>
      </w:r>
      <w:r w:rsidRPr="00097E81">
        <w:t xml:space="preserve">, cited above, at § 46; in the same sense ECtHR [GC], </w:t>
      </w:r>
      <w:r w:rsidRPr="00097E81">
        <w:rPr>
          <w:i/>
        </w:rPr>
        <w:t>Varnava and Others v. Turkey</w:t>
      </w:r>
      <w:r w:rsidRPr="00097E81">
        <w:t>, cited</w:t>
      </w:r>
      <w:r w:rsidRPr="00097E81">
        <w:rPr>
          <w:color w:val="000000"/>
        </w:rPr>
        <w:t xml:space="preserve"> in § </w:t>
      </w:r>
      <w:fldSimple w:instr=" REF _Ref346123885 \r \h  \* MERGEFORMAT ">
        <w:r w:rsidR="00F75BE2" w:rsidRPr="00097E81">
          <w:rPr>
            <w:color w:val="000000"/>
          </w:rPr>
          <w:t>47</w:t>
        </w:r>
      </w:fldSimple>
      <w:r w:rsidRPr="00097E81">
        <w:t xml:space="preserve"> </w:t>
      </w:r>
      <w:r w:rsidRPr="00097E81">
        <w:rPr>
          <w:color w:val="000000"/>
        </w:rPr>
        <w:t xml:space="preserve">above, at </w:t>
      </w:r>
      <w:r w:rsidRPr="00097E81">
        <w:t xml:space="preserve">§ 145). While the location and the subsequent identification of the mortal remains of the victim may in themselves be significant achievements, the procedural obligation under Article 2 continues to exist (see ECtHR, </w:t>
      </w:r>
      <w:r w:rsidRPr="00097E81">
        <w:rPr>
          <w:i/>
        </w:rPr>
        <w:t>Palić v. Bosnia and Herzegovina</w:t>
      </w:r>
      <w:r w:rsidRPr="00097E81">
        <w:t>, cited above, at § 64).</w:t>
      </w:r>
      <w:bookmarkEnd w:id="32"/>
    </w:p>
    <w:p w:rsidR="00FC789E" w:rsidRPr="00097E81" w:rsidRDefault="00FC789E" w:rsidP="00FC789E">
      <w:pPr>
        <w:suppressAutoHyphens/>
        <w:autoSpaceDE w:val="0"/>
        <w:ind w:left="360"/>
        <w:jc w:val="both"/>
        <w:rPr>
          <w:lang w:val="en-GB"/>
        </w:rPr>
      </w:pPr>
      <w:bookmarkStart w:id="33" w:name="_Ref347937166"/>
    </w:p>
    <w:p w:rsidR="00FC789E" w:rsidRPr="00097E81" w:rsidRDefault="00FC789E" w:rsidP="00FC789E">
      <w:pPr>
        <w:numPr>
          <w:ilvl w:val="0"/>
          <w:numId w:val="5"/>
        </w:numPr>
        <w:tabs>
          <w:tab w:val="left" w:pos="360"/>
          <w:tab w:val="num" w:pos="630"/>
        </w:tabs>
        <w:suppressAutoHyphens/>
        <w:autoSpaceDE w:val="0"/>
        <w:jc w:val="both"/>
        <w:rPr>
          <w:lang w:val="en-GB"/>
        </w:rPr>
      </w:pPr>
      <w:bookmarkStart w:id="34" w:name="_Ref348364879"/>
      <w:r w:rsidRPr="00097E81">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097E81">
        <w:rPr>
          <w:i/>
        </w:rPr>
        <w:t>Ahmet Özkan and Others</w:t>
      </w:r>
      <w:r w:rsidRPr="00097E81">
        <w:t xml:space="preserve">, cited in § </w:t>
      </w:r>
      <w:fldSimple w:instr=" REF _Ref346721519 \r \h  \* MERGEFORMAT ">
        <w:r w:rsidR="00F75BE2" w:rsidRPr="00097E81">
          <w:t>68</w:t>
        </w:r>
      </w:fldSimple>
      <w:r w:rsidRPr="00097E81">
        <w:t xml:space="preserve"> above, at §§ 311</w:t>
      </w:r>
      <w:r w:rsidRPr="00097E81">
        <w:noBreakHyphen/>
        <w:t xml:space="preserve">314; ECtHR, </w:t>
      </w:r>
      <w:r w:rsidRPr="00097E81">
        <w:rPr>
          <w:i/>
        </w:rPr>
        <w:t>Isayeva v. Russia</w:t>
      </w:r>
      <w:r w:rsidRPr="00097E81">
        <w:t xml:space="preserve">, cited in § </w:t>
      </w:r>
      <w:fldSimple w:instr=" REF _Ref346721519 \r \h  \* MERGEFORMAT ">
        <w:r w:rsidR="00F75BE2" w:rsidRPr="00097E81">
          <w:t>68</w:t>
        </w:r>
      </w:fldSimple>
      <w:r w:rsidRPr="00097E81">
        <w:t xml:space="preserve"> above, at §§ 211-214 and the cases cited therein; ECtHR [GC], </w:t>
      </w:r>
      <w:r w:rsidRPr="00097E81">
        <w:rPr>
          <w:i/>
        </w:rPr>
        <w:t>Al-Skeini and Others v. the United Kingdom</w:t>
      </w:r>
      <w:r w:rsidRPr="00097E81">
        <w:t>, judgment of 7 July 2011, no. 55721/07, § 167, ECHR 2011).</w:t>
      </w:r>
      <w:bookmarkEnd w:id="33"/>
      <w:bookmarkEnd w:id="34"/>
    </w:p>
    <w:p w:rsidR="00FC789E" w:rsidRPr="00097E81" w:rsidRDefault="00FC789E" w:rsidP="00FC789E">
      <w:pPr>
        <w:pStyle w:val="MediumGrid1-Accent21"/>
        <w:rPr>
          <w:color w:val="000000"/>
          <w:lang w:val="en-GB"/>
        </w:rPr>
      </w:pPr>
    </w:p>
    <w:p w:rsidR="00FC789E" w:rsidRPr="00097E81" w:rsidRDefault="00FC789E" w:rsidP="00FC789E">
      <w:pPr>
        <w:pStyle w:val="MediumGrid1-Accent21"/>
        <w:numPr>
          <w:ilvl w:val="0"/>
          <w:numId w:val="17"/>
        </w:numPr>
        <w:suppressAutoHyphens w:val="0"/>
        <w:ind w:left="360"/>
        <w:contextualSpacing/>
        <w:jc w:val="both"/>
        <w:rPr>
          <w:i/>
          <w:color w:val="000000"/>
          <w:lang w:eastAsia="en-US"/>
        </w:rPr>
      </w:pPr>
      <w:r w:rsidRPr="00097E81">
        <w:rPr>
          <w:i/>
          <w:color w:val="000000"/>
          <w:lang w:eastAsia="en-US"/>
        </w:rPr>
        <w:t>Applicability of Article 2 to the Kosovo context</w:t>
      </w:r>
    </w:p>
    <w:p w:rsidR="00FC789E" w:rsidRPr="00097E81" w:rsidRDefault="00FC789E" w:rsidP="00FC789E">
      <w:pPr>
        <w:pStyle w:val="MediumGrid1-Accent21"/>
        <w:rPr>
          <w:color w:val="000000"/>
          <w:lang w:eastAsia="en-US"/>
        </w:rPr>
      </w:pPr>
    </w:p>
    <w:p w:rsidR="00FC789E" w:rsidRPr="00097E81" w:rsidRDefault="00FC789E" w:rsidP="00FC789E">
      <w:pPr>
        <w:pStyle w:val="MediumGrid1-Accent21"/>
        <w:numPr>
          <w:ilvl w:val="0"/>
          <w:numId w:val="5"/>
        </w:numPr>
        <w:tabs>
          <w:tab w:val="left" w:pos="360"/>
          <w:tab w:val="num" w:pos="630"/>
        </w:tabs>
        <w:suppressAutoHyphens w:val="0"/>
        <w:contextualSpacing/>
        <w:jc w:val="both"/>
        <w:rPr>
          <w:color w:val="000000"/>
          <w:lang w:eastAsia="en-US"/>
        </w:rPr>
      </w:pPr>
      <w:bookmarkStart w:id="35" w:name="_Ref350958715"/>
      <w:r w:rsidRPr="00097E81">
        <w:rPr>
          <w:color w:val="000000"/>
          <w:lang w:eastAsia="en-US"/>
        </w:rPr>
        <w:t xml:space="preserve">The Panel is conscious that the disappearance and killing of </w:t>
      </w:r>
      <w:r w:rsidRPr="00097E81">
        <w:t>Dušan Jočić</w:t>
      </w:r>
      <w:r w:rsidRPr="00097E81">
        <w:rPr>
          <w:color w:val="000000"/>
          <w:lang w:eastAsia="en-US"/>
        </w:rPr>
        <w:t xml:space="preserve"> </w:t>
      </w:r>
      <w:r w:rsidRPr="00097E81">
        <w:t>occurred shortly after the deployment of UNMIK in Kosovo in the immediate aftermath of the armed conflict, when crime, violence and insecurity were rife.</w:t>
      </w:r>
      <w:bookmarkEnd w:id="35"/>
      <w:r w:rsidRPr="00097E81">
        <w:t xml:space="preserve"> </w:t>
      </w:r>
    </w:p>
    <w:p w:rsidR="00FC789E" w:rsidRPr="00097E81" w:rsidRDefault="00FC789E" w:rsidP="00FC789E">
      <w:pPr>
        <w:pStyle w:val="MediumGrid1-Accent21"/>
        <w:tabs>
          <w:tab w:val="left" w:pos="360"/>
        </w:tabs>
        <w:ind w:left="360" w:hanging="360"/>
        <w:jc w:val="both"/>
        <w:rPr>
          <w:color w:val="000000"/>
          <w:lang w:eastAsia="en-US"/>
        </w:rPr>
      </w:pPr>
    </w:p>
    <w:p w:rsidR="00FC789E" w:rsidRPr="00097E81" w:rsidRDefault="00FC789E" w:rsidP="00FC789E">
      <w:pPr>
        <w:pStyle w:val="MediumGrid1-Accent21"/>
        <w:numPr>
          <w:ilvl w:val="0"/>
          <w:numId w:val="5"/>
        </w:numPr>
        <w:tabs>
          <w:tab w:val="left" w:pos="360"/>
          <w:tab w:val="num" w:pos="630"/>
        </w:tabs>
        <w:suppressAutoHyphens w:val="0"/>
        <w:contextualSpacing/>
        <w:jc w:val="both"/>
        <w:rPr>
          <w:color w:val="000000"/>
          <w:lang w:eastAsia="en-US"/>
        </w:rPr>
      </w:pPr>
      <w:r w:rsidRPr="00097E81">
        <w:t>On his part, the SRSG does not contest that UNMIK had a duty to investigate the present case under Article 2 of the ECHR.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p>
    <w:p w:rsidR="00FC789E" w:rsidRPr="00097E81" w:rsidRDefault="00FC789E" w:rsidP="00FC789E">
      <w:pPr>
        <w:pStyle w:val="MediumGrid1-Accent21"/>
        <w:tabs>
          <w:tab w:val="left" w:pos="360"/>
        </w:tabs>
        <w:ind w:left="360" w:hanging="360"/>
        <w:rPr>
          <w:color w:val="000000"/>
          <w:lang w:eastAsia="en-US"/>
        </w:rPr>
      </w:pPr>
    </w:p>
    <w:p w:rsidR="00FC789E" w:rsidRPr="00097E81" w:rsidRDefault="00FC789E" w:rsidP="00FC789E">
      <w:pPr>
        <w:pStyle w:val="MediumGrid1-Accent21"/>
        <w:numPr>
          <w:ilvl w:val="0"/>
          <w:numId w:val="5"/>
        </w:numPr>
        <w:tabs>
          <w:tab w:val="left" w:pos="360"/>
          <w:tab w:val="num" w:pos="630"/>
        </w:tabs>
        <w:suppressAutoHyphens w:val="0"/>
        <w:contextualSpacing/>
        <w:jc w:val="both"/>
        <w:rPr>
          <w:color w:val="000000"/>
          <w:lang w:eastAsia="en-US"/>
        </w:rPr>
      </w:pPr>
      <w:r w:rsidRPr="00097E81">
        <w:rPr>
          <w:color w:val="000000"/>
          <w:lang w:eastAsia="en-US"/>
        </w:rPr>
        <w:t xml:space="preserve">The Panel </w:t>
      </w:r>
      <w:r w:rsidRPr="00097E81">
        <w:t>considers</w:t>
      </w:r>
      <w:r w:rsidRPr="00097E81">
        <w:rPr>
          <w:color w:val="000000"/>
          <w:lang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FC789E" w:rsidRPr="00097E81" w:rsidRDefault="00FC789E" w:rsidP="00FC789E">
      <w:pPr>
        <w:pStyle w:val="MediumGrid1-Accent21"/>
        <w:tabs>
          <w:tab w:val="left" w:pos="360"/>
        </w:tabs>
        <w:ind w:left="360" w:hanging="360"/>
        <w:rPr>
          <w:color w:val="000000"/>
          <w:lang w:eastAsia="en-US"/>
        </w:rPr>
      </w:pPr>
    </w:p>
    <w:p w:rsidR="00FC789E" w:rsidRPr="00097E81" w:rsidRDefault="00FC789E" w:rsidP="00FC789E">
      <w:pPr>
        <w:pStyle w:val="MediumGrid1-Accent21"/>
        <w:numPr>
          <w:ilvl w:val="0"/>
          <w:numId w:val="5"/>
        </w:numPr>
        <w:tabs>
          <w:tab w:val="left" w:pos="360"/>
          <w:tab w:val="num" w:pos="630"/>
        </w:tabs>
        <w:suppressAutoHyphens w:val="0"/>
        <w:contextualSpacing/>
        <w:jc w:val="both"/>
        <w:rPr>
          <w:color w:val="000000"/>
          <w:lang w:eastAsia="en-US"/>
        </w:rPr>
      </w:pPr>
      <w:r w:rsidRPr="00097E81">
        <w:rPr>
          <w:color w:val="000000"/>
          <w:lang w:eastAsia="en-US"/>
        </w:rPr>
        <w:t xml:space="preserve">As regards the applicability of Article 2 to UNMIK, the Panel recalls </w:t>
      </w:r>
      <w:r w:rsidRPr="00097E81">
        <w:rPr>
          <w:color w:val="000000"/>
          <w:lang w:eastAsia="nl-BE"/>
        </w:rPr>
        <w:t xml:space="preserve">that with the adoption of the UNMIK Regulation No. 1999/1 on 25 July 1999 UNMIK undertook an obligation to observe internationally recognised human rights standards in exercising its </w:t>
      </w:r>
      <w:r w:rsidRPr="00097E81">
        <w:t>functions</w:t>
      </w:r>
      <w:r w:rsidRPr="00097E81">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97E81">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097E81">
        <w:rPr>
          <w:i/>
        </w:rPr>
        <w:t>Milogorić</w:t>
      </w:r>
      <w:r w:rsidRPr="00097E81">
        <w:t xml:space="preserve"> </w:t>
      </w:r>
      <w:r w:rsidRPr="00097E81">
        <w:rPr>
          <w:i/>
        </w:rPr>
        <w:t>and Others,</w:t>
      </w:r>
      <w:r w:rsidRPr="00097E81">
        <w:t xml:space="preserve"> nos. 38/08 and others, opinion of 24 March 2011, § 44; </w:t>
      </w:r>
      <w:r w:rsidRPr="00097E81">
        <w:rPr>
          <w:i/>
        </w:rPr>
        <w:t>Berisha and Others,</w:t>
      </w:r>
      <w:r w:rsidRPr="00097E81">
        <w:t xml:space="preserve"> nos. 27/08 and others, opinion of 23 February 2011,</w:t>
      </w:r>
      <w:r w:rsidRPr="00097E81">
        <w:rPr>
          <w:i/>
        </w:rPr>
        <w:t xml:space="preserve"> </w:t>
      </w:r>
      <w:r w:rsidRPr="00097E81">
        <w:t xml:space="preserve">§ 25; </w:t>
      </w:r>
      <w:r w:rsidRPr="00097E81">
        <w:rPr>
          <w:i/>
        </w:rPr>
        <w:t>Lalić and Others</w:t>
      </w:r>
      <w:r w:rsidRPr="00097E81">
        <w:t>, nos. 09/08 and others, opinion of 9 June 2012, § 22).</w:t>
      </w:r>
    </w:p>
    <w:p w:rsidR="00FC789E" w:rsidRPr="00097E81" w:rsidRDefault="00FC789E" w:rsidP="00FC789E">
      <w:pPr>
        <w:tabs>
          <w:tab w:val="left" w:pos="360"/>
        </w:tabs>
        <w:ind w:left="360" w:hanging="360"/>
        <w:jc w:val="both"/>
        <w:rPr>
          <w:color w:val="000000"/>
        </w:rPr>
      </w:pPr>
    </w:p>
    <w:p w:rsidR="00FC789E" w:rsidRPr="00097E81" w:rsidRDefault="00FC789E" w:rsidP="00FC789E">
      <w:pPr>
        <w:pStyle w:val="MediumGrid1-Accent21"/>
        <w:numPr>
          <w:ilvl w:val="0"/>
          <w:numId w:val="5"/>
        </w:numPr>
        <w:tabs>
          <w:tab w:val="left" w:pos="360"/>
          <w:tab w:val="num" w:pos="630"/>
        </w:tabs>
        <w:suppressAutoHyphens w:val="0"/>
        <w:contextualSpacing/>
        <w:jc w:val="both"/>
        <w:rPr>
          <w:color w:val="000000"/>
          <w:lang w:eastAsia="en-US"/>
        </w:rPr>
      </w:pPr>
      <w:r w:rsidRPr="00097E81">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97E81">
        <w:rPr>
          <w:color w:val="000000"/>
          <w:lang w:val="en-GB" w:eastAsia="en-US"/>
        </w:rPr>
        <w:t>Yugoslavia</w:t>
      </w:r>
      <w:r w:rsidRPr="00097E81">
        <w:t xml:space="preserve"> (see, among other examples, ECtHR, </w:t>
      </w:r>
      <w:r w:rsidRPr="00097E81">
        <w:rPr>
          <w:i/>
        </w:rPr>
        <w:t>Palić v. Bosnia and Herzegovina,</w:t>
      </w:r>
      <w:r w:rsidRPr="00097E81">
        <w:t xml:space="preserve"> cited in § </w:t>
      </w:r>
      <w:fldSimple w:instr=" REF _Ref346724174 \r \h  \* MERGEFORMAT ">
        <w:r w:rsidR="00F75BE2" w:rsidRPr="00097E81">
          <w:t>69</w:t>
        </w:r>
      </w:fldSimple>
      <w:r w:rsidRPr="00097E81">
        <w:t xml:space="preserve"> above, and ECtHR, </w:t>
      </w:r>
      <w:r w:rsidRPr="00097E81">
        <w:rPr>
          <w:i/>
        </w:rPr>
        <w:t>Jularić v. Croatia</w:t>
      </w:r>
      <w:r w:rsidRPr="00097E81">
        <w:t xml:space="preserve">, no. 20106/06, judgment of 20 January 2011). The Court has further held that that the procedural obligation under Article 2 continues to apply in “difficult security conditions, including in a context of armed conflict” (see </w:t>
      </w:r>
      <w:r w:rsidRPr="00097E81">
        <w:rPr>
          <w:lang w:eastAsia="en-US"/>
        </w:rPr>
        <w:t xml:space="preserve">ECtHR [GC], </w:t>
      </w:r>
      <w:r w:rsidRPr="00097E81">
        <w:rPr>
          <w:i/>
          <w:lang w:eastAsia="en-US"/>
        </w:rPr>
        <w:t>Al-Skeini and Others v. the United Kingdom</w:t>
      </w:r>
      <w:r w:rsidRPr="00097E81">
        <w:rPr>
          <w:lang w:eastAsia="en-US"/>
        </w:rPr>
        <w:t xml:space="preserve">, cited in § </w:t>
      </w:r>
      <w:fldSimple w:instr=" REF _Ref348364879 \r \h  \* MERGEFORMAT ">
        <w:r w:rsidR="00F75BE2" w:rsidRPr="00097E81">
          <w:rPr>
            <w:lang w:eastAsia="en-US"/>
          </w:rPr>
          <w:t>72</w:t>
        </w:r>
      </w:fldSimple>
      <w:r w:rsidRPr="00097E81">
        <w:rPr>
          <w:lang w:eastAsia="en-US"/>
        </w:rPr>
        <w:t xml:space="preserve"> above, at § 164; see also ECtHR, </w:t>
      </w:r>
      <w:r w:rsidRPr="00097E81">
        <w:rPr>
          <w:i/>
          <w:lang w:eastAsia="en-US"/>
        </w:rPr>
        <w:t>Güleç v. Turkey</w:t>
      </w:r>
      <w:r w:rsidRPr="00097E81">
        <w:rPr>
          <w:lang w:eastAsia="en-US"/>
        </w:rPr>
        <w:t>, judgment of 27 July 1998, § 81,</w:t>
      </w:r>
      <w:r w:rsidRPr="00097E81">
        <w:t xml:space="preserve"> Reports </w:t>
      </w:r>
      <w:r w:rsidRPr="00097E81">
        <w:rPr>
          <w:lang w:eastAsia="en-US"/>
        </w:rPr>
        <w:t>1998-IV; ECtHR,</w:t>
      </w:r>
      <w:r w:rsidRPr="00097E81">
        <w:rPr>
          <w:i/>
          <w:lang w:eastAsia="en-US"/>
        </w:rPr>
        <w:t xml:space="preserve"> Ergi v. Turkey</w:t>
      </w:r>
      <w:r w:rsidRPr="00097E81">
        <w:rPr>
          <w:lang w:eastAsia="en-US"/>
        </w:rPr>
        <w:t>, judgment of 28 July 1998, §§ 79 and 82, Reports 1998-IV; ECtHR,</w:t>
      </w:r>
      <w:r w:rsidRPr="00097E81">
        <w:rPr>
          <w:i/>
          <w:lang w:eastAsia="en-US"/>
        </w:rPr>
        <w:t xml:space="preserve"> Ahmet Özkan and Others v. Turkey</w:t>
      </w:r>
      <w:r w:rsidRPr="00097E81">
        <w:rPr>
          <w:lang w:eastAsia="en-US"/>
        </w:rPr>
        <w:t xml:space="preserve">, </w:t>
      </w:r>
      <w:r w:rsidRPr="00097E81">
        <w:t xml:space="preserve">cited in § </w:t>
      </w:r>
      <w:fldSimple w:instr=" REF _Ref346721519 \r \h  \* MERGEFORMAT ">
        <w:r w:rsidR="00F75BE2" w:rsidRPr="00097E81">
          <w:t>68</w:t>
        </w:r>
      </w:fldSimple>
      <w:r w:rsidRPr="00097E81">
        <w:t xml:space="preserve"> above, at </w:t>
      </w:r>
      <w:r w:rsidRPr="00097E81">
        <w:rPr>
          <w:lang w:eastAsia="en-US"/>
        </w:rPr>
        <w:t>§§ 85-90, 309-320 and 326-330;</w:t>
      </w:r>
      <w:r w:rsidRPr="00097E81">
        <w:rPr>
          <w:i/>
          <w:lang w:eastAsia="en-US"/>
        </w:rPr>
        <w:t xml:space="preserve"> Isayeva v. Russia</w:t>
      </w:r>
      <w:r w:rsidRPr="00097E81">
        <w:rPr>
          <w:lang w:eastAsia="en-US"/>
        </w:rPr>
        <w:t xml:space="preserve">, </w:t>
      </w:r>
      <w:r w:rsidRPr="00097E81">
        <w:t xml:space="preserve">cited in § </w:t>
      </w:r>
      <w:fldSimple w:instr=" REF _Ref346721519 \r \h  \* MERGEFORMAT ">
        <w:r w:rsidR="00F75BE2" w:rsidRPr="00097E81">
          <w:t>68</w:t>
        </w:r>
      </w:fldSimple>
      <w:r w:rsidRPr="00097E81">
        <w:t xml:space="preserve"> above, at </w:t>
      </w:r>
      <w:r w:rsidRPr="00097E81">
        <w:rPr>
          <w:lang w:eastAsia="en-US"/>
        </w:rPr>
        <w:t xml:space="preserve">§§ 180 and 210; ECtHR, </w:t>
      </w:r>
      <w:r w:rsidRPr="00097E81">
        <w:rPr>
          <w:i/>
          <w:lang w:eastAsia="en-US"/>
        </w:rPr>
        <w:t>Kanlibaş v. Turkey</w:t>
      </w:r>
      <w:r w:rsidRPr="00097E81">
        <w:rPr>
          <w:lang w:eastAsia="en-US"/>
        </w:rPr>
        <w:t>, no. 32444/96, judgment of 8 December 2005, §§ 39-51)</w:t>
      </w:r>
      <w:r w:rsidRPr="00097E81">
        <w:t xml:space="preserve">. </w:t>
      </w:r>
    </w:p>
    <w:p w:rsidR="00FC789E" w:rsidRPr="00097E81" w:rsidRDefault="00FC789E" w:rsidP="00FC789E">
      <w:pPr>
        <w:pStyle w:val="MediumGrid1-Accent21"/>
        <w:tabs>
          <w:tab w:val="left" w:pos="360"/>
        </w:tabs>
        <w:ind w:left="360" w:hanging="360"/>
      </w:pPr>
    </w:p>
    <w:p w:rsidR="00FC789E" w:rsidRPr="00097E81" w:rsidRDefault="00FC789E" w:rsidP="00FC789E">
      <w:pPr>
        <w:pStyle w:val="MediumGrid1-Accent21"/>
        <w:numPr>
          <w:ilvl w:val="0"/>
          <w:numId w:val="5"/>
        </w:numPr>
        <w:tabs>
          <w:tab w:val="left" w:pos="360"/>
          <w:tab w:val="num" w:pos="630"/>
        </w:tabs>
        <w:suppressAutoHyphens w:val="0"/>
        <w:contextualSpacing/>
        <w:jc w:val="both"/>
        <w:rPr>
          <w:color w:val="000000"/>
          <w:lang w:eastAsia="en-US"/>
        </w:rPr>
      </w:pPr>
      <w:bookmarkStart w:id="36" w:name="_Ref348542926"/>
      <w:r w:rsidRPr="00097E81">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097E81">
        <w:rPr>
          <w:lang w:eastAsia="en-US"/>
        </w:rPr>
        <w:t xml:space="preserve">use of </w:t>
      </w:r>
      <w:r w:rsidRPr="00097E81">
        <w:t xml:space="preserve">less effective measures of investigation or may cause an investigation to be delayed” (see, </w:t>
      </w:r>
      <w:r w:rsidRPr="00097E81">
        <w:rPr>
          <w:lang w:eastAsia="en-US"/>
        </w:rPr>
        <w:t xml:space="preserve">ECtHR [GC], </w:t>
      </w:r>
      <w:r w:rsidRPr="00097E81">
        <w:rPr>
          <w:i/>
          <w:lang w:eastAsia="en-US"/>
        </w:rPr>
        <w:t xml:space="preserve">Al-Skeini and Others v. the United Kingdom, </w:t>
      </w:r>
      <w:r w:rsidRPr="00097E81">
        <w:rPr>
          <w:lang w:eastAsia="en-US"/>
        </w:rPr>
        <w:t>cited above, at §164;</w:t>
      </w:r>
      <w:r w:rsidRPr="00097E81">
        <w:rPr>
          <w:i/>
          <w:lang w:eastAsia="en-US"/>
        </w:rPr>
        <w:t xml:space="preserve"> </w:t>
      </w:r>
      <w:r w:rsidRPr="00097E81">
        <w:rPr>
          <w:lang w:eastAsia="en-US"/>
        </w:rPr>
        <w:t>ECtHR,</w:t>
      </w:r>
      <w:r w:rsidRPr="00097E81">
        <w:rPr>
          <w:i/>
          <w:lang w:eastAsia="en-US"/>
        </w:rPr>
        <w:t xml:space="preserve"> Bazorkina v. Russia</w:t>
      </w:r>
      <w:r w:rsidRPr="00097E81">
        <w:rPr>
          <w:lang w:eastAsia="en-US"/>
        </w:rPr>
        <w:t>, no. 69481/01, judgment of 27 July 2006, § 121)</w:t>
      </w:r>
      <w:r w:rsidRPr="00097E81">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97E81">
        <w:rPr>
          <w:i/>
          <w:lang w:eastAsia="en-US"/>
        </w:rPr>
        <w:t>Kaya v. Turkey</w:t>
      </w:r>
      <w:r w:rsidRPr="00097E81">
        <w:rPr>
          <w:lang w:eastAsia="en-US"/>
        </w:rPr>
        <w:t xml:space="preserve">, cited in § </w:t>
      </w:r>
      <w:fldSimple w:instr=" REF _Ref347561805 \r \h  \* MERGEFORMAT ">
        <w:r w:rsidR="00F75BE2" w:rsidRPr="00097E81">
          <w:rPr>
            <w:lang w:eastAsia="en-US"/>
          </w:rPr>
          <w:t>66</w:t>
        </w:r>
      </w:fldSimple>
      <w:r w:rsidRPr="00097E81">
        <w:rPr>
          <w:lang w:eastAsia="en-US"/>
        </w:rPr>
        <w:t xml:space="preserve"> above, at §§ 86</w:t>
      </w:r>
      <w:r w:rsidRPr="00097E81">
        <w:rPr>
          <w:lang w:eastAsia="en-US"/>
        </w:rPr>
        <w:noBreakHyphen/>
        <w:t xml:space="preserve">92; ECtHR, </w:t>
      </w:r>
      <w:r w:rsidRPr="00097E81">
        <w:rPr>
          <w:i/>
          <w:lang w:eastAsia="en-US"/>
        </w:rPr>
        <w:t xml:space="preserve">Ergi, </w:t>
      </w:r>
      <w:r w:rsidRPr="00097E81">
        <w:rPr>
          <w:lang w:eastAsia="en-US"/>
        </w:rPr>
        <w:t xml:space="preserve">cited above, at §§ 82-85; ECtHR [GC], </w:t>
      </w:r>
      <w:r w:rsidRPr="00097E81">
        <w:rPr>
          <w:i/>
          <w:lang w:eastAsia="en-US"/>
        </w:rPr>
        <w:t>Tanrıkulu v. Turkey</w:t>
      </w:r>
      <w:r w:rsidRPr="00097E81">
        <w:rPr>
          <w:lang w:eastAsia="en-US"/>
        </w:rPr>
        <w:t xml:space="preserve">, no. 23763/94, judgment of 8 July 1999, §§ 101-110, ECHR 1999-IV; ECtHR, </w:t>
      </w:r>
      <w:r w:rsidRPr="00097E81">
        <w:rPr>
          <w:i/>
          <w:lang w:eastAsia="en-US"/>
        </w:rPr>
        <w:t>Khashiyev and Akayeva v. Russia</w:t>
      </w:r>
      <w:r w:rsidRPr="00097E81">
        <w:rPr>
          <w:lang w:eastAsia="en-US"/>
        </w:rPr>
        <w:t xml:space="preserve">, nos. 57942/00 and 57945/00, judgment of 24 February 2005, §§ 156-166; ECtHR, </w:t>
      </w:r>
      <w:r w:rsidRPr="00097E81">
        <w:rPr>
          <w:i/>
          <w:lang w:eastAsia="en-US"/>
        </w:rPr>
        <w:t>Isayeva v. Russia</w:t>
      </w:r>
      <w:r w:rsidRPr="00097E81">
        <w:rPr>
          <w:lang w:eastAsia="en-US"/>
        </w:rPr>
        <w:t xml:space="preserve">, </w:t>
      </w:r>
      <w:r w:rsidRPr="00097E81">
        <w:t xml:space="preserve">cited above, at </w:t>
      </w:r>
      <w:r w:rsidRPr="00097E81">
        <w:rPr>
          <w:lang w:eastAsia="en-US"/>
        </w:rPr>
        <w:t>§§ 215</w:t>
      </w:r>
      <w:r w:rsidRPr="00097E81">
        <w:rPr>
          <w:lang w:eastAsia="en-US"/>
        </w:rPr>
        <w:noBreakHyphen/>
        <w:t xml:space="preserve">224; ECtHR, </w:t>
      </w:r>
      <w:r w:rsidRPr="00097E81">
        <w:rPr>
          <w:i/>
          <w:lang w:eastAsia="en-US"/>
        </w:rPr>
        <w:t>Musayev and Others v. Russia</w:t>
      </w:r>
      <w:r w:rsidRPr="00097E81">
        <w:rPr>
          <w:lang w:eastAsia="en-US"/>
        </w:rPr>
        <w:t>, nos. 57941/00 and others, judgment of 26 July 2007, §§ 158-165).</w:t>
      </w:r>
      <w:bookmarkEnd w:id="36"/>
      <w:r w:rsidRPr="00097E81">
        <w:rPr>
          <w:lang w:eastAsia="en-US"/>
        </w:rPr>
        <w:t xml:space="preserve"> </w:t>
      </w:r>
    </w:p>
    <w:p w:rsidR="00FC789E" w:rsidRPr="00097E81" w:rsidRDefault="00FC789E" w:rsidP="00FC789E">
      <w:pPr>
        <w:pStyle w:val="MediumGrid1-Accent21"/>
        <w:tabs>
          <w:tab w:val="left" w:pos="360"/>
        </w:tabs>
        <w:ind w:left="360" w:hanging="360"/>
        <w:jc w:val="both"/>
        <w:rPr>
          <w:color w:val="000000"/>
          <w:lang w:eastAsia="en-US"/>
        </w:rPr>
      </w:pPr>
    </w:p>
    <w:p w:rsidR="00FC789E" w:rsidRPr="00097E81" w:rsidRDefault="00FC789E" w:rsidP="00FC789E">
      <w:pPr>
        <w:pStyle w:val="MediumGrid1-Accent21"/>
        <w:numPr>
          <w:ilvl w:val="0"/>
          <w:numId w:val="5"/>
        </w:numPr>
        <w:tabs>
          <w:tab w:val="left" w:pos="360"/>
          <w:tab w:val="num" w:pos="630"/>
        </w:tabs>
        <w:suppressAutoHyphens w:val="0"/>
        <w:contextualSpacing/>
        <w:jc w:val="both"/>
        <w:rPr>
          <w:i/>
          <w:color w:val="000000"/>
          <w:lang w:eastAsia="en-US"/>
        </w:rPr>
      </w:pPr>
      <w:r w:rsidRPr="00097E81">
        <w:rPr>
          <w:color w:val="000000"/>
          <w:lang w:eastAsia="en-US"/>
        </w:rPr>
        <w:t xml:space="preserve">Similarly, the HRC has held that the right to life, including its procedural guarantees, shall be considered as the supreme right from which no derogation is </w:t>
      </w:r>
      <w:r w:rsidRPr="00097E81">
        <w:t>permitted</w:t>
      </w:r>
      <w:r w:rsidRPr="00097E81">
        <w:rPr>
          <w:color w:val="000000"/>
          <w:lang w:eastAsia="en-US"/>
        </w:rPr>
        <w:t xml:space="preserve"> even in time of public emergency which threatens the life of the nation (see, HRC, General Comment No. 6, cited in § </w:t>
      </w:r>
      <w:fldSimple w:instr=" REF _Ref348539776 \r \h  \* MERGEFORMAT ">
        <w:r w:rsidR="00F75BE2" w:rsidRPr="00097E81">
          <w:rPr>
            <w:color w:val="000000"/>
            <w:lang w:eastAsia="en-US"/>
          </w:rPr>
          <w:t>65</w:t>
        </w:r>
      </w:fldSimple>
      <w:r w:rsidRPr="00097E81">
        <w:rPr>
          <w:color w:val="000000"/>
          <w:lang w:eastAsia="en-US"/>
        </w:rPr>
        <w:t xml:space="preserve"> above, at § 1; HRC, </w:t>
      </w:r>
      <w:r w:rsidRPr="00097E81">
        <w:rPr>
          <w:i/>
          <w:color w:val="000000"/>
          <w:lang w:eastAsia="en-US"/>
        </w:rPr>
        <w:t>Abubakar Amirov and Aïzan Amirova v. Russi</w:t>
      </w:r>
      <w:r w:rsidRPr="00097E81">
        <w:t>a</w:t>
      </w:r>
      <w:r w:rsidRPr="00097E81">
        <w:rPr>
          <w:i/>
          <w:color w:val="000000"/>
          <w:lang w:eastAsia="en-US"/>
        </w:rPr>
        <w:t>n Federation</w:t>
      </w:r>
      <w:r w:rsidRPr="00097E81">
        <w:rPr>
          <w:color w:val="000000"/>
          <w:lang w:eastAsia="en-US"/>
        </w:rPr>
        <w:t xml:space="preserve">, 22 April 2009, § 11.2, </w:t>
      </w:r>
      <w:r w:rsidRPr="00097E81">
        <w:rPr>
          <w:bCs/>
          <w:lang w:eastAsia="en-US"/>
        </w:rPr>
        <w:t>CCPR/C/95/D/1447/2006</w:t>
      </w:r>
      <w:r w:rsidRPr="00097E81">
        <w:rPr>
          <w:lang w:eastAsia="en-US"/>
        </w:rPr>
        <w:t>).</w:t>
      </w:r>
      <w:r w:rsidRPr="00097E81">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097E81">
        <w:rPr>
          <w:lang w:eastAsia="en-US"/>
        </w:rPr>
        <w:t>§§ 12-13, CCPR/C/UNK/CO/1).</w:t>
      </w:r>
    </w:p>
    <w:p w:rsidR="00FC789E" w:rsidRPr="00097E81" w:rsidRDefault="00FC789E" w:rsidP="00FC789E">
      <w:pPr>
        <w:tabs>
          <w:tab w:val="left" w:pos="360"/>
        </w:tabs>
        <w:ind w:left="360" w:hanging="360"/>
      </w:pPr>
    </w:p>
    <w:p w:rsidR="00FC789E" w:rsidRPr="00097E81" w:rsidRDefault="00FC789E" w:rsidP="00FC789E">
      <w:pPr>
        <w:pStyle w:val="MediumGrid1-Accent21"/>
        <w:numPr>
          <w:ilvl w:val="0"/>
          <w:numId w:val="5"/>
        </w:numPr>
        <w:tabs>
          <w:tab w:val="left" w:pos="360"/>
          <w:tab w:val="num" w:pos="630"/>
        </w:tabs>
        <w:suppressAutoHyphens w:val="0"/>
        <w:contextualSpacing/>
        <w:jc w:val="both"/>
      </w:pPr>
      <w:bookmarkStart w:id="37" w:name="_Ref343611663"/>
      <w:r w:rsidRPr="00097E81">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97E81">
        <w:rPr>
          <w:color w:val="000000"/>
        </w:rPr>
        <w:t xml:space="preserve">officers or units of UNMIK Police. Such a system should also take account of the protection needs of victims and witnesses (see, </w:t>
      </w:r>
      <w:r w:rsidRPr="00097E81">
        <w:rPr>
          <w:i/>
          <w:color w:val="000000"/>
        </w:rPr>
        <w:t>mutatis mutandis</w:t>
      </w:r>
      <w:r w:rsidRPr="00097E81">
        <w:rPr>
          <w:color w:val="000000"/>
        </w:rPr>
        <w:t xml:space="preserve">, ECtHR, </w:t>
      </w:r>
      <w:r w:rsidRPr="00097E81">
        <w:rPr>
          <w:i/>
          <w:color w:val="000000"/>
        </w:rPr>
        <w:t>R.R. and Others v. Hungary</w:t>
      </w:r>
      <w:r w:rsidRPr="00097E81">
        <w:rPr>
          <w:color w:val="000000"/>
        </w:rPr>
        <w:t>, no. 19400/11, judgment of 4 December 2012, §§ 28-32), as well as to consider the special v</w:t>
      </w:r>
      <w:r w:rsidRPr="00097E81">
        <w:rPr>
          <w:color w:val="000000"/>
          <w:lang w:val="en-GB"/>
        </w:rPr>
        <w:t>ulnerability of displaced persons</w:t>
      </w:r>
      <w:r w:rsidRPr="00097E81">
        <w:rPr>
          <w:color w:val="000000"/>
        </w:rPr>
        <w:t xml:space="preserve"> in post-conflict situations (see ECtHR [GC], </w:t>
      </w:r>
      <w:r w:rsidRPr="00097E81">
        <w:rPr>
          <w:i/>
          <w:color w:val="000000"/>
        </w:rPr>
        <w:t xml:space="preserve">Sargsyan v. Azerbaijan, </w:t>
      </w:r>
      <w:r w:rsidRPr="00097E81">
        <w:rPr>
          <w:color w:val="000000"/>
        </w:rPr>
        <w:t xml:space="preserve">no. 40167/06, decision of 14 December 2011, § 145; and ECtHR [GC], </w:t>
      </w:r>
      <w:r w:rsidRPr="00097E81">
        <w:rPr>
          <w:i/>
          <w:color w:val="000000"/>
        </w:rPr>
        <w:t>Chiragov and Others v. Armenia</w:t>
      </w:r>
      <w:r w:rsidRPr="00097E81">
        <w:rPr>
          <w:color w:val="000000"/>
        </w:rPr>
        <w:t>, no. 13216/05, decision of 14 December 2011, § 146). While understanding that the deployment and the organisation of the police and justice apparatus occurred</w:t>
      </w:r>
      <w:r w:rsidRPr="00097E81">
        <w:t xml:space="preserve"> gradually, the Panel deems that this process was completed in 2003 when the police and justice system in Kosovo was described as being “well-functioning” and “sustainable” by the UN Secretary-General (see </w:t>
      </w:r>
      <w:r w:rsidRPr="00097E81">
        <w:rPr>
          <w:lang w:eastAsia="en-US"/>
        </w:rPr>
        <w:t xml:space="preserve">§ </w:t>
      </w:r>
      <w:fldSimple w:instr=" REF _Ref346123767 \r \h  \* MERGEFORMAT ">
        <w:r w:rsidR="00F75BE2" w:rsidRPr="00097E81">
          <w:rPr>
            <w:lang w:eastAsia="en-US"/>
          </w:rPr>
          <w:t>17</w:t>
        </w:r>
      </w:fldSimple>
      <w:r w:rsidRPr="00097E81">
        <w:rPr>
          <w:lang w:eastAsia="en-US"/>
        </w:rPr>
        <w:t xml:space="preserve"> </w:t>
      </w:r>
      <w:r w:rsidRPr="00097E81">
        <w:t>above).</w:t>
      </w:r>
      <w:bookmarkEnd w:id="37"/>
    </w:p>
    <w:p w:rsidR="00FC789E" w:rsidRPr="00097E81" w:rsidRDefault="00FC789E" w:rsidP="00FC789E">
      <w:pPr>
        <w:pStyle w:val="MediumGrid1-Accent21"/>
        <w:tabs>
          <w:tab w:val="left" w:pos="360"/>
        </w:tabs>
        <w:ind w:left="360" w:hanging="360"/>
        <w:rPr>
          <w:lang w:val="en-GB"/>
        </w:rPr>
      </w:pPr>
    </w:p>
    <w:p w:rsidR="00FC789E" w:rsidRPr="00097E81" w:rsidRDefault="00FC789E" w:rsidP="00FC789E">
      <w:pPr>
        <w:numPr>
          <w:ilvl w:val="0"/>
          <w:numId w:val="5"/>
        </w:numPr>
        <w:tabs>
          <w:tab w:val="left" w:pos="360"/>
          <w:tab w:val="num" w:pos="630"/>
        </w:tabs>
        <w:suppressAutoHyphens/>
        <w:autoSpaceDE w:val="0"/>
        <w:jc w:val="both"/>
        <w:rPr>
          <w:rStyle w:val="sb8d990e2"/>
        </w:rPr>
      </w:pPr>
      <w:bookmarkStart w:id="38" w:name="_Ref350958718"/>
      <w:r w:rsidRPr="00097E81">
        <w:rPr>
          <w:rStyle w:val="sb8d990e2"/>
        </w:rPr>
        <w:t xml:space="preserve">The Panel further notes that its task is not to review relevant practices or alleged obstacles to the conduct of effective investigations </w:t>
      </w:r>
      <w:r w:rsidRPr="00097E81">
        <w:rPr>
          <w:rStyle w:val="s6b621b36"/>
          <w:i/>
        </w:rPr>
        <w:t xml:space="preserve">in </w:t>
      </w:r>
      <w:r w:rsidRPr="00097E81">
        <w:rPr>
          <w:rStyle w:val="wordhighlighted"/>
          <w:i/>
        </w:rPr>
        <w:t>abstracto</w:t>
      </w:r>
      <w:r w:rsidRPr="00097E81">
        <w:rPr>
          <w:rStyle w:val="sb8d990e2"/>
        </w:rPr>
        <w:t xml:space="preserve">, but only in relation to their specific application to the particular circumstances of a situation subject of a complaint before </w:t>
      </w:r>
      <w:r w:rsidRPr="00097E81">
        <w:rPr>
          <w:rStyle w:val="sb8d990e2"/>
          <w:color w:val="000000"/>
        </w:rPr>
        <w:t xml:space="preserve">it (see, ECtHR, </w:t>
      </w:r>
      <w:r w:rsidRPr="00097E81">
        <w:rPr>
          <w:rStyle w:val="s6b621b36"/>
          <w:i/>
          <w:color w:val="000000"/>
        </w:rPr>
        <w:t>Brogan</w:t>
      </w:r>
      <w:r w:rsidRPr="00097E81">
        <w:rPr>
          <w:rStyle w:val="s6b621b36"/>
          <w:i/>
        </w:rPr>
        <w:t xml:space="preserve"> and Others v. the United </w:t>
      </w:r>
      <w:r w:rsidRPr="00097E81">
        <w:rPr>
          <w:rStyle w:val="s6b621b36"/>
          <w:i/>
          <w:color w:val="000000"/>
        </w:rPr>
        <w:t>Kingdom</w:t>
      </w:r>
      <w:r w:rsidRPr="00097E81">
        <w:rPr>
          <w:rStyle w:val="sb8d990e2"/>
          <w:color w:val="000000"/>
        </w:rPr>
        <w:t xml:space="preserve">, </w:t>
      </w:r>
      <w:r w:rsidRPr="00097E81">
        <w:rPr>
          <w:rStyle w:val="column01"/>
          <w:color w:val="000000"/>
        </w:rPr>
        <w:t>judgment of</w:t>
      </w:r>
      <w:r w:rsidRPr="00097E81">
        <w:rPr>
          <w:rStyle w:val="sb8d990e2"/>
          <w:color w:val="000000"/>
        </w:rPr>
        <w:t xml:space="preserve"> 29</w:t>
      </w:r>
      <w:r w:rsidRPr="00097E81">
        <w:rPr>
          <w:rStyle w:val="sb8d990e2"/>
        </w:rPr>
        <w:t xml:space="preserve"> November 1988,</w:t>
      </w:r>
      <w:r w:rsidRPr="00097E81">
        <w:t xml:space="preserve"> </w:t>
      </w:r>
      <w:r w:rsidRPr="00097E81">
        <w:rPr>
          <w:rStyle w:val="sb8d990e2"/>
        </w:rPr>
        <w:t xml:space="preserve">§ 53, Series A no. 145-B). </w:t>
      </w:r>
      <w:r w:rsidRPr="00097E81">
        <w:t xml:space="preserve">The Panel thus agrees with the SRSG that the nature and degree of scrutiny to determine whether the effectiveness of the investigation satisfies the minimum threshold depends on the circumstances of the particular case. </w:t>
      </w:r>
      <w:r w:rsidRPr="00097E81">
        <w:rPr>
          <w:rStyle w:val="sb8d990e2"/>
        </w:rPr>
        <w:t>For these reasons, the Panel considers that it will establish with regard to each case if all reasonable steps were taken to conduct an effective investigation as prescribed by Article 2,</w:t>
      </w:r>
      <w:r w:rsidRPr="00097E81">
        <w:t xml:space="preserve"> </w:t>
      </w:r>
      <w:r w:rsidRPr="00097E81">
        <w:rPr>
          <w:rStyle w:val="sb8d990e2"/>
        </w:rPr>
        <w:t>having regard to the realities of the investigative work in Kosovo.</w:t>
      </w:r>
      <w:bookmarkEnd w:id="38"/>
    </w:p>
    <w:p w:rsidR="00FC789E" w:rsidRPr="00097E81" w:rsidRDefault="00FC789E" w:rsidP="00FC789E">
      <w:pPr>
        <w:suppressAutoHyphens/>
        <w:autoSpaceDE w:val="0"/>
        <w:jc w:val="both"/>
        <w:rPr>
          <w:b/>
          <w:bCs/>
        </w:rPr>
      </w:pPr>
    </w:p>
    <w:p w:rsidR="00FC789E" w:rsidRPr="00097E81" w:rsidRDefault="00FC789E" w:rsidP="00FC789E">
      <w:pPr>
        <w:pStyle w:val="MediumGrid1-Accent21"/>
        <w:numPr>
          <w:ilvl w:val="0"/>
          <w:numId w:val="17"/>
        </w:numPr>
        <w:suppressAutoHyphens w:val="0"/>
        <w:ind w:left="360"/>
        <w:contextualSpacing/>
        <w:jc w:val="both"/>
        <w:rPr>
          <w:i/>
          <w:color w:val="000000"/>
          <w:lang w:val="en-GB"/>
        </w:rPr>
      </w:pPr>
      <w:r w:rsidRPr="00097E81">
        <w:rPr>
          <w:i/>
          <w:color w:val="000000"/>
          <w:lang w:eastAsia="en-US"/>
        </w:rPr>
        <w:t>Compliance</w:t>
      </w:r>
      <w:r w:rsidRPr="00097E81">
        <w:rPr>
          <w:i/>
          <w:color w:val="000000"/>
          <w:lang w:val="en-GB"/>
        </w:rPr>
        <w:t xml:space="preserve"> with Article 2 in the present case</w:t>
      </w:r>
    </w:p>
    <w:p w:rsidR="00FC789E" w:rsidRPr="00097E81" w:rsidRDefault="00FC789E" w:rsidP="00FC789E">
      <w:pPr>
        <w:tabs>
          <w:tab w:val="left" w:pos="1440"/>
          <w:tab w:val="left" w:pos="1800"/>
        </w:tabs>
        <w:jc w:val="both"/>
        <w:rPr>
          <w:lang w:val="en-GB"/>
        </w:rPr>
      </w:pPr>
    </w:p>
    <w:p w:rsidR="00FC789E" w:rsidRPr="00097E81" w:rsidRDefault="00FC789E" w:rsidP="00FC789E">
      <w:pPr>
        <w:numPr>
          <w:ilvl w:val="0"/>
          <w:numId w:val="5"/>
        </w:numPr>
        <w:suppressAutoHyphens/>
        <w:autoSpaceDE w:val="0"/>
        <w:jc w:val="both"/>
      </w:pPr>
      <w:bookmarkStart w:id="39" w:name="_Ref354422702"/>
      <w:r w:rsidRPr="00097E81">
        <w:rPr>
          <w:bCs/>
          <w:lang w:val="en-GB"/>
        </w:rPr>
        <w:t xml:space="preserve">Turning to the circumstances of the present case, the Panel </w:t>
      </w:r>
      <w:r w:rsidRPr="00097E81">
        <w:t xml:space="preserve">notes the complainant’s statement that her son’s disappearance was promptly reported to KFOR and the ICRC (see § </w:t>
      </w:r>
      <w:fldSimple w:instr=" REF _Ref348365376 \r \h  \* MERGEFORMAT ">
        <w:r w:rsidR="00F75BE2" w:rsidRPr="00097E81">
          <w:t>22</w:t>
        </w:r>
      </w:fldSimple>
      <w:r w:rsidRPr="00097E81">
        <w:t xml:space="preserve"> above). </w:t>
      </w:r>
      <w:r w:rsidR="00F75BE2" w:rsidRPr="00097E81">
        <w:t>T</w:t>
      </w:r>
      <w:r w:rsidRPr="00097E81">
        <w:t xml:space="preserve">he Panel </w:t>
      </w:r>
      <w:r w:rsidRPr="00097E81">
        <w:rPr>
          <w:rStyle w:val="sb8d990e2"/>
        </w:rPr>
        <w:t>considers</w:t>
      </w:r>
      <w:r w:rsidRPr="00097E81">
        <w:t xml:space="preserve"> </w:t>
      </w:r>
      <w:r w:rsidR="00F75BE2" w:rsidRPr="00097E81">
        <w:rPr>
          <w:lang w:val="en-GB"/>
        </w:rPr>
        <w:t xml:space="preserve">that from February 2002 UNMIK was informed of </w:t>
      </w:r>
      <w:r w:rsidR="00F75BE2" w:rsidRPr="00097E81">
        <w:t xml:space="preserve">Dušan Jočić’s </w:t>
      </w:r>
      <w:r w:rsidR="00F75BE2" w:rsidRPr="00097E81">
        <w:rPr>
          <w:lang w:val="en-GB"/>
        </w:rPr>
        <w:t xml:space="preserve">disappearance (see § </w:t>
      </w:r>
      <w:fldSimple w:instr=" REF _Ref354420794 \r \h  \* MERGEFORMAT ">
        <w:r w:rsidR="00F75BE2" w:rsidRPr="00097E81">
          <w:rPr>
            <w:lang w:val="en-GB"/>
          </w:rPr>
          <w:t>26</w:t>
        </w:r>
      </w:fldSimple>
      <w:r w:rsidR="00F75BE2" w:rsidRPr="00097E81">
        <w:rPr>
          <w:lang w:val="en-GB"/>
        </w:rPr>
        <w:t xml:space="preserve"> above) and that from February 2005 at the latest, the UNMIK DOJ was fully aware of the circumstances of the complainant’s son’s alleged abduction (see § </w:t>
      </w:r>
      <w:fldSimple w:instr=" REF _Ref347235697 \r \h  \* MERGEFORMAT ">
        <w:r w:rsidR="00F75BE2" w:rsidRPr="00097E81">
          <w:rPr>
            <w:lang w:val="en-GB"/>
          </w:rPr>
          <w:t>34</w:t>
        </w:r>
      </w:fldSimple>
      <w:r w:rsidR="00F75BE2" w:rsidRPr="00097E81">
        <w:rPr>
          <w:lang w:val="en-GB"/>
        </w:rPr>
        <w:t xml:space="preserve"> above)</w:t>
      </w:r>
      <w:r w:rsidRPr="00097E81">
        <w:t xml:space="preserve">. It is without doubt that after the identification of his mortal remains in 2007, it was apparent that his death was violent (see § </w:t>
      </w:r>
      <w:fldSimple w:instr=" REF _Ref348367248 \r \h  \* MERGEFORMAT ">
        <w:r w:rsidR="00F75BE2" w:rsidRPr="00097E81">
          <w:t>31</w:t>
        </w:r>
      </w:fldSimple>
      <w:r w:rsidRPr="00097E81">
        <w:t xml:space="preserve"> above).</w:t>
      </w:r>
      <w:bookmarkEnd w:id="39"/>
    </w:p>
    <w:p w:rsidR="00F75BE2" w:rsidRPr="00097E81" w:rsidRDefault="00F75BE2" w:rsidP="00FC789E">
      <w:pPr>
        <w:pStyle w:val="MediumGrid1-Accent21"/>
      </w:pPr>
    </w:p>
    <w:p w:rsidR="00FC789E" w:rsidRPr="00097E81" w:rsidRDefault="00FC789E" w:rsidP="00FC789E">
      <w:pPr>
        <w:numPr>
          <w:ilvl w:val="0"/>
          <w:numId w:val="5"/>
        </w:numPr>
        <w:tabs>
          <w:tab w:val="left" w:pos="360"/>
          <w:tab w:val="num" w:pos="630"/>
        </w:tabs>
        <w:jc w:val="both"/>
      </w:pPr>
      <w:bookmarkStart w:id="40" w:name="_Ref354420199"/>
      <w:r w:rsidRPr="00097E81">
        <w:rPr>
          <w:bCs/>
          <w:lang w:val="en-GB"/>
        </w:rPr>
        <w:t xml:space="preserve">Examining the particulars of this case, the Panel notes that the file does not indicate any investigative action into the disappearance and, as it later transpired, killing of </w:t>
      </w:r>
      <w:r w:rsidRPr="00097E81">
        <w:t>Dušan Jočić</w:t>
      </w:r>
      <w:r w:rsidRPr="00097E81">
        <w:rPr>
          <w:bCs/>
          <w:lang w:val="en-GB"/>
        </w:rPr>
        <w:t xml:space="preserve">. </w:t>
      </w:r>
      <w:r w:rsidRPr="00097E81">
        <w:t xml:space="preserve">However, in </w:t>
      </w:r>
      <w:r w:rsidRPr="00097E81">
        <w:rPr>
          <w:color w:val="000000"/>
        </w:rPr>
        <w:t xml:space="preserve">light of the considerations developed above concerning its limited temporal jurisdiction (see § </w:t>
      </w:r>
      <w:fldSimple w:instr=" REF _Ref346123885 \r \h  \* MERGEFORMAT ">
        <w:r w:rsidR="00F75BE2" w:rsidRPr="00097E81">
          <w:rPr>
            <w:color w:val="000000"/>
          </w:rPr>
          <w:t>47</w:t>
        </w:r>
      </w:fldSimple>
      <w:r w:rsidRPr="00097E81">
        <w:rPr>
          <w:color w:val="000000"/>
        </w:rPr>
        <w:t xml:space="preserve">), the Panel recalls that it is competent </w:t>
      </w:r>
      <w:r w:rsidRPr="00097E81">
        <w:rPr>
          <w:i/>
          <w:color w:val="000000"/>
        </w:rPr>
        <w:t>ratione temporis</w:t>
      </w:r>
      <w:r w:rsidRPr="00097E81">
        <w:rPr>
          <w:color w:val="000000"/>
        </w:rPr>
        <w:t xml:space="preserve"> to evaluate the compliance of the investigation with Article 2 of the ECHR only for the period after 23 April 2005, </w:t>
      </w:r>
      <w:r w:rsidRPr="00097E81">
        <w:t xml:space="preserve">while taking into consideration the state of the case at that date (ECtHR, </w:t>
      </w:r>
      <w:r w:rsidRPr="00097E81">
        <w:rPr>
          <w:i/>
        </w:rPr>
        <w:t>Palić v. Bosnia and Herzegovina</w:t>
      </w:r>
      <w:r w:rsidRPr="00097E81">
        <w:t xml:space="preserve">, cited in § </w:t>
      </w:r>
      <w:fldSimple w:instr=" REF _Ref346724174 \r \h  \* MERGEFORMAT ">
        <w:r w:rsidR="00F75BE2" w:rsidRPr="00097E81">
          <w:t>69</w:t>
        </w:r>
      </w:fldSimple>
      <w:r w:rsidRPr="00097E81">
        <w:t xml:space="preserve"> above, at § 70)</w:t>
      </w:r>
      <w:r w:rsidRPr="00097E81">
        <w:rPr>
          <w:color w:val="000000"/>
        </w:rPr>
        <w:t xml:space="preserve">. The period under review ends on 9 December 2008, with EULEX taking over responsibility in the area of administration of justice (see § </w:t>
      </w:r>
      <w:fldSimple w:instr=" REF _Ref346123927 \r \h  \* MERGEFORMAT ">
        <w:r w:rsidR="00F75BE2" w:rsidRPr="00097E81">
          <w:rPr>
            <w:color w:val="000000"/>
          </w:rPr>
          <w:t>19</w:t>
        </w:r>
      </w:fldSimple>
      <w:r w:rsidRPr="00097E81">
        <w:rPr>
          <w:color w:val="000000"/>
        </w:rPr>
        <w:t xml:space="preserve"> above).</w:t>
      </w:r>
      <w:bookmarkEnd w:id="40"/>
      <w:r w:rsidRPr="00097E81">
        <w:rPr>
          <w:color w:val="000000"/>
        </w:rPr>
        <w:t xml:space="preserve"> </w:t>
      </w:r>
    </w:p>
    <w:p w:rsidR="00FC789E" w:rsidRPr="00097E81" w:rsidRDefault="00FC789E" w:rsidP="00FC789E">
      <w:pPr>
        <w:suppressAutoHyphens/>
        <w:autoSpaceDE w:val="0"/>
        <w:ind w:left="360"/>
        <w:jc w:val="both"/>
      </w:pPr>
    </w:p>
    <w:p w:rsidR="00FC789E" w:rsidRPr="00097E81" w:rsidRDefault="00FC789E" w:rsidP="00FC789E">
      <w:pPr>
        <w:numPr>
          <w:ilvl w:val="0"/>
          <w:numId w:val="5"/>
        </w:numPr>
        <w:tabs>
          <w:tab w:val="left" w:pos="360"/>
          <w:tab w:val="num" w:pos="630"/>
        </w:tabs>
        <w:jc w:val="both"/>
      </w:pPr>
      <w:r w:rsidRPr="00097E81">
        <w:t xml:space="preserve">The Panel notes that from the moment UNMIK became aware of the matter until 23 April 2005, the only actions undertaken by UNMIK relate to the exhumation of Dušan Jočić’s mortal remains, which took place on </w:t>
      </w:r>
      <w:r w:rsidRPr="00097E81">
        <w:rPr>
          <w:bCs/>
          <w:lang w:val="en-GB"/>
        </w:rPr>
        <w:t>16 July 2002</w:t>
      </w:r>
      <w:r w:rsidRPr="00097E81">
        <w:t>. Nonetheless, there is no evidence that any action was undertaken with respect to clarifying the circumstances surrounding his abduction and killing.</w:t>
      </w:r>
    </w:p>
    <w:p w:rsidR="00FC789E" w:rsidRPr="00097E81" w:rsidRDefault="00FC789E" w:rsidP="00FC789E">
      <w:pPr>
        <w:suppressAutoHyphens/>
        <w:autoSpaceDE w:val="0"/>
        <w:ind w:left="360"/>
        <w:jc w:val="both"/>
      </w:pPr>
    </w:p>
    <w:p w:rsidR="00FC789E" w:rsidRPr="00097E81" w:rsidRDefault="00FC789E" w:rsidP="00FC789E">
      <w:pPr>
        <w:numPr>
          <w:ilvl w:val="0"/>
          <w:numId w:val="5"/>
        </w:numPr>
        <w:suppressAutoHyphens/>
        <w:autoSpaceDE w:val="0"/>
        <w:jc w:val="both"/>
      </w:pPr>
      <w:bookmarkStart w:id="41" w:name="_Ref354420246"/>
      <w:r w:rsidRPr="00097E81">
        <w:t xml:space="preserve">The Panel </w:t>
      </w:r>
      <w:r w:rsidR="004D2F65" w:rsidRPr="00097E81">
        <w:t xml:space="preserve">also </w:t>
      </w:r>
      <w:r w:rsidRPr="00097E81">
        <w:t>notes that, from the registration of the case in 2004 until the end of the period under review, no action whatsoever aimed at identification of those responsible for the possible abduction and killing of Dušan Jočić undertaken by UNMIK Police is documented in the file. No statement was ever taken from the complainant or witnesses to the abduction. No efforts were made to search for evidence (i.e. a cite identification and inspection) or to follow obvious lines of enquiry (i.e. KLA commanders in the area of Pej</w:t>
      </w:r>
      <w:r w:rsidRPr="00097E81">
        <w:rPr>
          <w:lang w:val="ru-RU"/>
        </w:rPr>
        <w:t>ё</w:t>
      </w:r>
      <w:r w:rsidRPr="00097E81">
        <w:t>/Peć). In 2004, the only step taken by UNMIK Police MPU was the registration of the case.</w:t>
      </w:r>
      <w:bookmarkEnd w:id="41"/>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pPr>
      <w:r w:rsidRPr="00097E81">
        <w:t xml:space="preserve">In 2007, UNMIK succeeded in identifying the victim’s mortal remains. Although this must be considered in itself an achievement, the Panel recalls that the procedural obligation under Article 2 did not come to an end with the identification of the remains, especially because of the clear signs of a violent death. Even after receiving two criminal reports from Serbia, one of which was undoubtedly received by the UNMIK DOJ before 21 February 2005 (see § </w:t>
      </w:r>
      <w:fldSimple w:instr=" REF _Ref347235697 \r \h  \* MERGEFORMAT ">
        <w:r w:rsidR="00F75BE2" w:rsidRPr="00097E81">
          <w:t>34</w:t>
        </w:r>
      </w:fldSimple>
      <w:r w:rsidRPr="00097E81">
        <w:t xml:space="preserve"> above), no investigative action is reflected in the file. </w:t>
      </w:r>
    </w:p>
    <w:p w:rsidR="00FC789E" w:rsidRPr="00097E81" w:rsidRDefault="00FC789E" w:rsidP="00FC789E">
      <w:pPr>
        <w:suppressAutoHyphens/>
        <w:autoSpaceDE w:val="0"/>
        <w:ind w:left="360"/>
        <w:jc w:val="both"/>
      </w:pPr>
    </w:p>
    <w:p w:rsidR="00FC789E" w:rsidRPr="00097E81" w:rsidRDefault="00FC789E" w:rsidP="00FC789E">
      <w:pPr>
        <w:numPr>
          <w:ilvl w:val="0"/>
          <w:numId w:val="5"/>
        </w:numPr>
        <w:suppressAutoHyphens/>
        <w:jc w:val="both"/>
      </w:pPr>
      <w:bookmarkStart w:id="42" w:name="_Ref354420251"/>
      <w:r w:rsidRPr="00097E81">
        <w:t>The Panel also considers that, contrary to the SRSG’s position, it was not due to the diligence of the MPU or WCIU, that Dušan Jočić’s mortal remains were found and identified. The fact that they were excavated in 2002 but then it was five years before they were identified in 2007, suggests that they were discovered during an action, not targeting this particular case (e.g. an excavation of a suspected mass grave). Otherwise, the identification would not have taken that long. The Panel also considers the fact that ante-mortem data on this missing person was collected by the Serbian MUP, and not by the UNMIK Police. In addition, no explanation was offered to the Panel as to why the handover of the identified mortal remains took place only after three years.</w:t>
      </w:r>
      <w:bookmarkEnd w:id="42"/>
    </w:p>
    <w:p w:rsidR="00F963CB" w:rsidRPr="00097E81" w:rsidRDefault="00F963CB" w:rsidP="00FC789E">
      <w:pPr>
        <w:pStyle w:val="MediumGrid1-Accent21"/>
      </w:pPr>
    </w:p>
    <w:p w:rsidR="00FC789E" w:rsidRPr="00097E81" w:rsidRDefault="00FC789E" w:rsidP="00FC789E">
      <w:pPr>
        <w:pStyle w:val="Default"/>
        <w:numPr>
          <w:ilvl w:val="0"/>
          <w:numId w:val="5"/>
        </w:numPr>
        <w:tabs>
          <w:tab w:val="left" w:pos="450"/>
          <w:tab w:val="left" w:pos="540"/>
          <w:tab w:val="left" w:pos="720"/>
        </w:tabs>
        <w:jc w:val="both"/>
      </w:pPr>
      <w:r w:rsidRPr="00097E81">
        <w:t xml:space="preserve">The Panel deems that this delay in carrying out the identification procedures could of itself call into question whether the investigation satisfied the requirements of promptness under Article 2 of the ECHR. However, the Panel is aware that the processes of exhuming and identifying mortal remains in the context of post-conflict Kosovo was particularly time-consuming, as a considerable number of cases concerning missing persons were simultaneously being handled by UNMIK during this period. For such procedures, and in particular for the DNA-based identification, adopted in Kosovo as of 2003, UNMIK had to rely on the technical cooperation of external institutions, primarily the ICMP. For this reason, the Panel does not consider such a delay to be unreasonable. The Panel also </w:t>
      </w:r>
      <w:r w:rsidR="00114B0D" w:rsidRPr="00097E81">
        <w:t xml:space="preserve">believes </w:t>
      </w:r>
      <w:r w:rsidRPr="00097E81">
        <w:t xml:space="preserve">that, given the circumstances of the case, the delay in the identification cannot be considered to have further prejudiced the investigation and its ability to bring the perpetrators to justice (see approach adopted by the Panel in HRAP, </w:t>
      </w:r>
      <w:r w:rsidRPr="00097E81">
        <w:rPr>
          <w:i/>
        </w:rPr>
        <w:t>Zdravković</w:t>
      </w:r>
      <w:r w:rsidRPr="00097E81">
        <w:t>, no. 46/08, §§ 123-124).</w:t>
      </w:r>
    </w:p>
    <w:p w:rsidR="00FC789E" w:rsidRPr="00097E81" w:rsidRDefault="00FC789E" w:rsidP="00FC789E">
      <w:pPr>
        <w:pStyle w:val="MediumGrid1-Accent21"/>
      </w:pPr>
    </w:p>
    <w:p w:rsidR="00FC789E" w:rsidRPr="00097E81" w:rsidRDefault="00FC789E" w:rsidP="004D2F65">
      <w:pPr>
        <w:numPr>
          <w:ilvl w:val="0"/>
          <w:numId w:val="5"/>
        </w:numPr>
        <w:suppressAutoHyphens/>
        <w:autoSpaceDE w:val="0"/>
        <w:jc w:val="both"/>
        <w:rPr>
          <w:color w:val="FF0000"/>
          <w:lang w:val="en-GB"/>
        </w:rPr>
      </w:pPr>
      <w:bookmarkStart w:id="43" w:name="_Ref354420261"/>
      <w:r w:rsidRPr="00097E81">
        <w:rPr>
          <w:lang w:val="en-GB"/>
        </w:rPr>
        <w:t xml:space="preserve">The Panel notes that considering the situation in Kosovo at that time, it may be that the </w:t>
      </w:r>
      <w:r w:rsidR="008126F2" w:rsidRPr="00097E81">
        <w:rPr>
          <w:lang w:val="en-GB"/>
        </w:rPr>
        <w:t xml:space="preserve">criminal report of the </w:t>
      </w:r>
      <w:r w:rsidRPr="00097E81">
        <w:rPr>
          <w:lang w:val="en-GB"/>
        </w:rPr>
        <w:t xml:space="preserve">complainant’s husband (see § </w:t>
      </w:r>
      <w:fldSimple w:instr=" REF _Ref347221447 \r \h  \* MERGEFORMAT ">
        <w:r w:rsidR="00F75BE2" w:rsidRPr="00097E81">
          <w:rPr>
            <w:lang w:val="en-GB"/>
          </w:rPr>
          <w:t>23</w:t>
        </w:r>
      </w:fldSimple>
      <w:r w:rsidRPr="00097E81">
        <w:rPr>
          <w:lang w:val="en-GB"/>
        </w:rPr>
        <w:t xml:space="preserve"> above) never in fact reached the </w:t>
      </w:r>
      <w:r w:rsidRPr="00097E81">
        <w:rPr>
          <w:bCs/>
          <w:lang w:val="en-GB"/>
        </w:rPr>
        <w:t xml:space="preserve">International </w:t>
      </w:r>
      <w:r w:rsidRPr="00097E81">
        <w:t>Public</w:t>
      </w:r>
      <w:r w:rsidRPr="00097E81">
        <w:rPr>
          <w:bCs/>
          <w:lang w:val="en-GB"/>
        </w:rPr>
        <w:t xml:space="preserve"> Prosecutor’s Office of Pejë/Peć. The</w:t>
      </w:r>
      <w:r w:rsidRPr="00097E81">
        <w:rPr>
          <w:lang w:val="en-GB"/>
        </w:rPr>
        <w:t xml:space="preserve"> Panel </w:t>
      </w:r>
      <w:r w:rsidR="00F75BE2" w:rsidRPr="00097E81">
        <w:rPr>
          <w:lang w:val="en-GB"/>
        </w:rPr>
        <w:t xml:space="preserve">however recalls that </w:t>
      </w:r>
      <w:r w:rsidRPr="00097E81">
        <w:rPr>
          <w:lang w:val="en-GB"/>
        </w:rPr>
        <w:t xml:space="preserve">from </w:t>
      </w:r>
      <w:r w:rsidR="00391DAC" w:rsidRPr="00097E81">
        <w:rPr>
          <w:lang w:val="en-GB"/>
        </w:rPr>
        <w:t xml:space="preserve">February 2002 UNMIK was informed of </w:t>
      </w:r>
      <w:r w:rsidR="00391DAC" w:rsidRPr="00097E81">
        <w:t xml:space="preserve">Dušan Jočić’s </w:t>
      </w:r>
      <w:r w:rsidR="00391DAC" w:rsidRPr="00097E81">
        <w:rPr>
          <w:lang w:val="en-GB"/>
        </w:rPr>
        <w:t xml:space="preserve">disappearance and </w:t>
      </w:r>
      <w:r w:rsidR="00E86A9C" w:rsidRPr="00097E81">
        <w:rPr>
          <w:lang w:val="en-GB"/>
        </w:rPr>
        <w:t xml:space="preserve">that </w:t>
      </w:r>
      <w:r w:rsidR="00F75BE2" w:rsidRPr="00097E81">
        <w:rPr>
          <w:lang w:val="en-GB"/>
        </w:rPr>
        <w:t xml:space="preserve">the UNMIK DOJ was fully aware of the case </w:t>
      </w:r>
      <w:r w:rsidR="00391DAC" w:rsidRPr="00097E81">
        <w:rPr>
          <w:lang w:val="en-GB"/>
        </w:rPr>
        <w:t xml:space="preserve">from February 2005 at the latest </w:t>
      </w:r>
      <w:r w:rsidRPr="00097E81">
        <w:rPr>
          <w:lang w:val="en-GB"/>
        </w:rPr>
        <w:t xml:space="preserve">(see § </w:t>
      </w:r>
      <w:fldSimple w:instr=" REF _Ref354422702 \r \h  \* MERGEFORMAT ">
        <w:r w:rsidR="00F75BE2" w:rsidRPr="00097E81">
          <w:rPr>
            <w:lang w:val="en-GB"/>
          </w:rPr>
          <w:t>82</w:t>
        </w:r>
      </w:fldSimple>
      <w:r w:rsidR="00F75BE2" w:rsidRPr="00097E81">
        <w:rPr>
          <w:lang w:val="en-GB"/>
        </w:rPr>
        <w:t xml:space="preserve"> </w:t>
      </w:r>
      <w:r w:rsidRPr="00097E81">
        <w:rPr>
          <w:lang w:val="en-GB"/>
        </w:rPr>
        <w:t>above).</w:t>
      </w:r>
      <w:bookmarkEnd w:id="43"/>
    </w:p>
    <w:p w:rsidR="00FC789E" w:rsidRPr="00097E81" w:rsidRDefault="00FC789E" w:rsidP="00FC789E">
      <w:pPr>
        <w:pStyle w:val="MediumGrid1-Accent21"/>
        <w:rPr>
          <w:lang w:val="en-GB"/>
        </w:rPr>
      </w:pPr>
    </w:p>
    <w:p w:rsidR="00FC789E" w:rsidRPr="00097E81" w:rsidRDefault="00FC789E" w:rsidP="00FC789E">
      <w:pPr>
        <w:numPr>
          <w:ilvl w:val="0"/>
          <w:numId w:val="5"/>
        </w:numPr>
        <w:suppressAutoHyphens/>
        <w:autoSpaceDE w:val="0"/>
        <w:jc w:val="both"/>
      </w:pPr>
      <w:r w:rsidRPr="00097E81">
        <w:t xml:space="preserve">Coming to the period within its jurisdiction, starting from 23 April 2005, the Panel notes that basic investigative steps, such as interviewing the complainant and witnesses to the above-described incident when the complainant’s son and others were invited to go to KFOR, had not yet been carried out. In addition, the Panel considers that, as it became clear that the death was violent and those responsible for the crime had not been located, UNMIK was obligated to use the means at its disposal to regularly review the progress of the investigation to ensure that no new facts had come to light, as well as to inform the relatives Dušan Jočić regarding any possible new leads of enquiry. The Panel notes that the case was reviewed at least once, some time between 3 October 2007 and 9 December 2008 (see § </w:t>
      </w:r>
      <w:fldSimple w:instr=" REF _Ref347225196 \r \h  \* MERGEFORMAT ">
        <w:r w:rsidR="00F75BE2" w:rsidRPr="00097E81">
          <w:t>35</w:t>
        </w:r>
      </w:fldSimple>
      <w:r w:rsidRPr="00097E81">
        <w:t xml:space="preserve"> above). However, regardless of the fact that deficiencies were identified, no action </w:t>
      </w:r>
      <w:r w:rsidR="004D2F65" w:rsidRPr="00097E81">
        <w:t>to rectify them was undertaken.</w:t>
      </w:r>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rPr>
          <w:color w:val="000000"/>
        </w:rPr>
      </w:pPr>
      <w:r w:rsidRPr="00097E81">
        <w:t xml:space="preserve">The Panel therefore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fldSimple w:instr=" REF _Ref346724174 \r \h  \* MERGEFORMAT ">
        <w:r w:rsidR="00F75BE2" w:rsidRPr="00097E81">
          <w:t>69</w:t>
        </w:r>
      </w:fldSimple>
      <w:r w:rsidRPr="00097E81">
        <w:t xml:space="preserve"> above), as required by Article 2. </w:t>
      </w:r>
    </w:p>
    <w:p w:rsidR="00FC789E" w:rsidRPr="00097E81" w:rsidRDefault="00FC789E" w:rsidP="00FC789E">
      <w:pPr>
        <w:pStyle w:val="MediumGrid1-Accent21"/>
      </w:pPr>
    </w:p>
    <w:p w:rsidR="00FC789E" w:rsidRPr="00097E81" w:rsidRDefault="00FC789E" w:rsidP="00FC789E">
      <w:pPr>
        <w:numPr>
          <w:ilvl w:val="0"/>
          <w:numId w:val="5"/>
        </w:numPr>
        <w:suppressAutoHyphens/>
        <w:autoSpaceDE w:val="0"/>
        <w:jc w:val="both"/>
        <w:rPr>
          <w:color w:val="000000"/>
        </w:rPr>
      </w:pPr>
      <w:r w:rsidRPr="00097E81">
        <w:t>As concerns the requirement of public scrutiny, the Panel recalls that Article 2 also requires the victim's next-of-kin to be involved in the investigation to the extent necessary to safeguard his or her legitimate interests. In this regard, the complainant states that she received no feedback whatsoever from UNMIK on the investigation concerning her son’s abduction. As the Panel has already noted, no statement was ever taken from the complainant and no information was given to her concerning the status of the investigation. The Panel therefore considers that the investigation was not accessible to the complainant’s family as required by Article 2.</w:t>
      </w:r>
    </w:p>
    <w:p w:rsidR="00FC789E" w:rsidRPr="00097E81" w:rsidRDefault="00FC789E" w:rsidP="00FC789E">
      <w:pPr>
        <w:jc w:val="both"/>
        <w:rPr>
          <w:color w:val="000000"/>
        </w:rPr>
      </w:pPr>
    </w:p>
    <w:p w:rsidR="00FC789E" w:rsidRPr="00097E81" w:rsidRDefault="00FC789E" w:rsidP="00FC789E">
      <w:pPr>
        <w:numPr>
          <w:ilvl w:val="0"/>
          <w:numId w:val="5"/>
        </w:numPr>
        <w:suppressAutoHyphens/>
        <w:autoSpaceDE w:val="0"/>
        <w:jc w:val="both"/>
      </w:pPr>
      <w:r w:rsidRPr="00097E81">
        <w:rPr>
          <w:color w:val="000000"/>
        </w:rPr>
        <w:t xml:space="preserve">In light of the deficiencies and shortcomings as described above, the Panel </w:t>
      </w:r>
      <w:r w:rsidRPr="00097E81">
        <w:t>concludes</w:t>
      </w:r>
      <w:r w:rsidRPr="00097E81">
        <w:rPr>
          <w:color w:val="000000"/>
        </w:rPr>
        <w:t xml:space="preserve"> that UNMIK failed to carry out an adequate and effective investigation into the abduction and killing of the complainant’s </w:t>
      </w:r>
      <w:bookmarkStart w:id="44" w:name="_GoBack"/>
      <w:bookmarkEnd w:id="44"/>
      <w:r w:rsidRPr="00097E81">
        <w:rPr>
          <w:color w:val="000000"/>
        </w:rPr>
        <w:t>son.  There has been accordingly a violation of Article 2 of the ECHR.</w:t>
      </w:r>
    </w:p>
    <w:p w:rsidR="00FC789E" w:rsidRPr="00097E81" w:rsidRDefault="00FC789E" w:rsidP="00FC789E">
      <w:pPr>
        <w:pStyle w:val="ListParagraph1"/>
      </w:pPr>
    </w:p>
    <w:p w:rsidR="00FC789E" w:rsidRPr="00097E81" w:rsidRDefault="00FC789E" w:rsidP="00FC789E">
      <w:pPr>
        <w:pStyle w:val="Default"/>
        <w:tabs>
          <w:tab w:val="left" w:pos="360"/>
          <w:tab w:val="left" w:pos="720"/>
        </w:tabs>
        <w:jc w:val="both"/>
        <w:rPr>
          <w:b/>
          <w:lang w:val="en-GB"/>
        </w:rPr>
      </w:pPr>
      <w:r w:rsidRPr="00097E81">
        <w:rPr>
          <w:b/>
          <w:lang w:val="en-GB"/>
        </w:rPr>
        <w:t>B.</w:t>
      </w:r>
      <w:r w:rsidRPr="00097E81">
        <w:rPr>
          <w:b/>
          <w:lang w:val="en-GB"/>
        </w:rPr>
        <w:tab/>
        <w:t>Alleged violation of Article 3 of the ECHR</w:t>
      </w:r>
    </w:p>
    <w:p w:rsidR="00FC789E" w:rsidRPr="00097E81" w:rsidRDefault="00FC789E" w:rsidP="00FC789E">
      <w:pPr>
        <w:pStyle w:val="ListParagraph1"/>
      </w:pPr>
    </w:p>
    <w:p w:rsidR="00FC789E" w:rsidRPr="00097E81" w:rsidRDefault="00FC789E" w:rsidP="00FC789E">
      <w:pPr>
        <w:numPr>
          <w:ilvl w:val="0"/>
          <w:numId w:val="5"/>
        </w:numPr>
        <w:suppressAutoHyphens/>
        <w:autoSpaceDE w:val="0"/>
        <w:jc w:val="both"/>
        <w:rPr>
          <w:lang w:val="en-GB"/>
        </w:rPr>
      </w:pPr>
      <w:r w:rsidRPr="00097E81">
        <w:rPr>
          <w:lang w:val="en-GB"/>
        </w:rPr>
        <w:t xml:space="preserve">The Panel considers that the complainant invokes, in substance, a violation of the right to be free from inhumane or degrading treatment, guaranteed by Article 3 of the ECHR. </w:t>
      </w:r>
    </w:p>
    <w:p w:rsidR="00FC789E" w:rsidRPr="00097E81" w:rsidRDefault="00FC789E" w:rsidP="00FC789E">
      <w:pPr>
        <w:pStyle w:val="Default"/>
        <w:tabs>
          <w:tab w:val="left" w:pos="360"/>
          <w:tab w:val="left" w:pos="540"/>
          <w:tab w:val="left" w:pos="720"/>
        </w:tabs>
        <w:ind w:left="540" w:hanging="360"/>
        <w:jc w:val="both"/>
        <w:rPr>
          <w:lang w:val="en-GB"/>
        </w:rPr>
      </w:pPr>
    </w:p>
    <w:p w:rsidR="00FC789E" w:rsidRPr="00097E81" w:rsidRDefault="00FC789E" w:rsidP="00FC789E">
      <w:pPr>
        <w:pStyle w:val="ListParagraph1"/>
        <w:numPr>
          <w:ilvl w:val="0"/>
          <w:numId w:val="27"/>
        </w:numPr>
        <w:jc w:val="both"/>
        <w:rPr>
          <w:b/>
        </w:rPr>
      </w:pPr>
      <w:r w:rsidRPr="00097E81">
        <w:rPr>
          <w:b/>
        </w:rPr>
        <w:t xml:space="preserve">The scope of the Panel’s review </w:t>
      </w:r>
    </w:p>
    <w:p w:rsidR="00FC789E" w:rsidRPr="00097E81" w:rsidRDefault="00FC789E" w:rsidP="00FC789E">
      <w:pPr>
        <w:pStyle w:val="Default"/>
        <w:tabs>
          <w:tab w:val="left" w:pos="360"/>
          <w:tab w:val="left" w:pos="540"/>
          <w:tab w:val="left" w:pos="720"/>
        </w:tabs>
        <w:ind w:left="540" w:hanging="360"/>
        <w:jc w:val="both"/>
        <w:rPr>
          <w:lang w:val="en-GB"/>
        </w:rPr>
      </w:pPr>
    </w:p>
    <w:p w:rsidR="00FC789E" w:rsidRPr="00097E81" w:rsidRDefault="00FC789E" w:rsidP="00FC789E">
      <w:pPr>
        <w:numPr>
          <w:ilvl w:val="0"/>
          <w:numId w:val="5"/>
        </w:numPr>
        <w:suppressAutoHyphens/>
        <w:autoSpaceDE w:val="0"/>
        <w:jc w:val="both"/>
        <w:rPr>
          <w:lang w:val="en-GB"/>
        </w:rPr>
      </w:pPr>
      <w:r w:rsidRPr="00097E81">
        <w:rPr>
          <w:lang w:val="en-GB"/>
        </w:rPr>
        <w:t xml:space="preserve">The Panel will consider the allegations under Article 3 of the ECHR, applying the same scope of review as was set out with regard to Article 2 (see §§ 42-47 above).  </w:t>
      </w:r>
    </w:p>
    <w:p w:rsidR="00FC789E" w:rsidRPr="00097E81" w:rsidRDefault="00FC789E" w:rsidP="00FC789E">
      <w:pPr>
        <w:pStyle w:val="ListParagraph1"/>
        <w:tabs>
          <w:tab w:val="left" w:pos="709"/>
        </w:tabs>
        <w:ind w:left="709" w:hanging="567"/>
      </w:pPr>
    </w:p>
    <w:p w:rsidR="00FC789E" w:rsidRPr="00097E81" w:rsidRDefault="00FC789E" w:rsidP="00FC789E">
      <w:pPr>
        <w:numPr>
          <w:ilvl w:val="0"/>
          <w:numId w:val="5"/>
        </w:numPr>
        <w:suppressAutoHyphens/>
        <w:autoSpaceDE w:val="0"/>
        <w:jc w:val="both"/>
        <w:rPr>
          <w:lang w:val="en-GB"/>
        </w:rPr>
      </w:pPr>
      <w:bookmarkStart w:id="45" w:name="_Ref354588604"/>
      <w:r w:rsidRPr="00097E81">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(Grand Chamber), </w:t>
      </w:r>
      <w:r w:rsidRPr="00097E81">
        <w:rPr>
          <w:i/>
          <w:lang w:val="en-GB"/>
        </w:rPr>
        <w:t>Çakici v. Turkey</w:t>
      </w:r>
      <w:r w:rsidRPr="00097E81">
        <w:rPr>
          <w:lang w:val="en-GB"/>
        </w:rPr>
        <w:t xml:space="preserve">, no. 23657/94, judgment of 8 July 1999, § 98, </w:t>
      </w:r>
      <w:r w:rsidRPr="00097E81">
        <w:rPr>
          <w:i/>
          <w:lang w:val="en-GB"/>
        </w:rPr>
        <w:t>ECHR</w:t>
      </w:r>
      <w:r w:rsidRPr="00097E81">
        <w:rPr>
          <w:lang w:val="en-GB"/>
        </w:rPr>
        <w:t xml:space="preserve">, 1999-IV; ECtHR (Grand Chamber), </w:t>
      </w:r>
      <w:r w:rsidRPr="00097E81">
        <w:rPr>
          <w:i/>
          <w:lang w:val="en-GB"/>
        </w:rPr>
        <w:t>Cyprus v. Turkey</w:t>
      </w:r>
      <w:r w:rsidRPr="00097E81">
        <w:rPr>
          <w:lang w:val="en-GB"/>
        </w:rPr>
        <w:t>, no. 25781/94, judgment of 10 May 2001, § 156,</w:t>
      </w:r>
      <w:r w:rsidRPr="00097E81">
        <w:rPr>
          <w:i/>
          <w:lang w:val="en-GB"/>
        </w:rPr>
        <w:t xml:space="preserve"> ECHR</w:t>
      </w:r>
      <w:r w:rsidRPr="00097E81">
        <w:rPr>
          <w:lang w:val="en-GB"/>
        </w:rPr>
        <w:t xml:space="preserve">, 2001-IV; ECtHR, </w:t>
      </w:r>
      <w:r w:rsidRPr="00097E81">
        <w:rPr>
          <w:i/>
          <w:lang w:val="en-GB"/>
        </w:rPr>
        <w:t>Orhan v. Turkey</w:t>
      </w:r>
      <w:r w:rsidRPr="00097E81">
        <w:rPr>
          <w:lang w:val="en-GB"/>
        </w:rPr>
        <w:t xml:space="preserve">, no. 25656/94, judgment of 18 June 2002, § 358; ECtHR, </w:t>
      </w:r>
      <w:r w:rsidRPr="00097E81">
        <w:rPr>
          <w:i/>
          <w:lang w:val="en-GB"/>
        </w:rPr>
        <w:t>Bazorkina v. Russia</w:t>
      </w:r>
      <w:r w:rsidRPr="00097E81">
        <w:rPr>
          <w:lang w:val="en-GB"/>
        </w:rPr>
        <w:t xml:space="preserve">, cited in § </w:t>
      </w:r>
      <w:fldSimple w:instr=" REF _Ref348542926 \r \h  \* MERGEFORMAT ">
        <w:r w:rsidR="00F75BE2" w:rsidRPr="00097E81">
          <w:rPr>
            <w:lang w:val="en-GB"/>
          </w:rPr>
          <w:t>78</w:t>
        </w:r>
      </w:fldSimple>
      <w:r w:rsidR="00391DAC" w:rsidRPr="00097E81">
        <w:rPr>
          <w:lang w:val="en-GB"/>
        </w:rPr>
        <w:t xml:space="preserve"> </w:t>
      </w:r>
      <w:r w:rsidRPr="00097E81">
        <w:rPr>
          <w:lang w:val="en-GB"/>
        </w:rPr>
        <w:t xml:space="preserve">above, at § 139; ECtHR, </w:t>
      </w:r>
      <w:r w:rsidRPr="00097E81">
        <w:rPr>
          <w:i/>
          <w:lang w:val="en-GB"/>
        </w:rPr>
        <w:t>Palić v. Bosnia and Herzegovina,</w:t>
      </w:r>
      <w:r w:rsidRPr="00097E81">
        <w:rPr>
          <w:lang w:val="en-GB"/>
        </w:rPr>
        <w:t xml:space="preserve"> cited in § </w:t>
      </w:r>
      <w:fldSimple w:instr=" REF _Ref346724174 \r \h  \* MERGEFORMAT ">
        <w:r w:rsidR="00F75BE2" w:rsidRPr="00097E81">
          <w:rPr>
            <w:lang w:val="en-GB"/>
          </w:rPr>
          <w:t>69</w:t>
        </w:r>
      </w:fldSimple>
      <w:r w:rsidRPr="00097E81">
        <w:rPr>
          <w:lang w:val="en-GB"/>
        </w:rPr>
        <w:t xml:space="preserve"> above, at § 74; ECtHR, </w:t>
      </w:r>
      <w:r w:rsidRPr="00097E81">
        <w:rPr>
          <w:i/>
          <w:lang w:val="en-GB"/>
        </w:rPr>
        <w:t>Alpatu Israilova v. Russia</w:t>
      </w:r>
      <w:r w:rsidRPr="00097E81">
        <w:rPr>
          <w:lang w:val="en-GB"/>
        </w:rPr>
        <w:t xml:space="preserve">, no. 15438/05, judgment of 14 March 2013, § 69; see also HRAP, </w:t>
      </w:r>
      <w:r w:rsidRPr="00097E81">
        <w:rPr>
          <w:i/>
          <w:lang w:val="en-GB"/>
        </w:rPr>
        <w:t>Zdravković</w:t>
      </w:r>
      <w:r w:rsidRPr="00097E81">
        <w:rPr>
          <w:lang w:val="en-GB"/>
        </w:rPr>
        <w:t xml:space="preserve">, no. 46/08, decision of 17 April 2009, § 41). “It is especially in respect of the latter that a relative may claim directly to be a victim of the authorities’ conduct” (see, among others, ECtHR, </w:t>
      </w:r>
      <w:r w:rsidRPr="00097E81">
        <w:rPr>
          <w:i/>
          <w:lang w:val="en-GB"/>
        </w:rPr>
        <w:t>Er and Others v. Turkey</w:t>
      </w:r>
      <w:r w:rsidRPr="00097E81">
        <w:rPr>
          <w:lang w:val="en-GB"/>
        </w:rPr>
        <w:t>, no. 23016/04, judgment of 31 July 2012, § 94).</w:t>
      </w:r>
      <w:bookmarkEnd w:id="45"/>
    </w:p>
    <w:p w:rsidR="00FC789E" w:rsidRPr="00097E81" w:rsidRDefault="00FC789E" w:rsidP="00FC789E">
      <w:pPr>
        <w:pStyle w:val="ListParagraph1"/>
        <w:tabs>
          <w:tab w:val="left" w:pos="709"/>
        </w:tabs>
        <w:ind w:left="709" w:hanging="567"/>
      </w:pPr>
    </w:p>
    <w:p w:rsidR="00FC789E" w:rsidRPr="00097E81" w:rsidRDefault="00FC789E" w:rsidP="00FC789E">
      <w:pPr>
        <w:numPr>
          <w:ilvl w:val="0"/>
          <w:numId w:val="5"/>
        </w:numPr>
        <w:suppressAutoHyphens/>
        <w:autoSpaceDE w:val="0"/>
        <w:jc w:val="both"/>
        <w:rPr>
          <w:lang w:val="en-GB"/>
        </w:rPr>
      </w:pPr>
      <w:r w:rsidRPr="00097E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097E81">
        <w:rPr>
          <w:i/>
          <w:lang w:val="en-GB"/>
        </w:rPr>
        <w:t>Gelayevy v. Russia</w:t>
      </w:r>
      <w:r w:rsidRPr="00097E81">
        <w:rPr>
          <w:lang w:val="en-GB"/>
        </w:rPr>
        <w:t>, no. 20216/07, judgment of 15 July 2010, §§ 147-148).</w:t>
      </w:r>
    </w:p>
    <w:p w:rsidR="00FC789E" w:rsidRPr="00097E81" w:rsidRDefault="00FC789E" w:rsidP="00FC789E">
      <w:pPr>
        <w:pStyle w:val="Default"/>
        <w:tabs>
          <w:tab w:val="left" w:pos="360"/>
          <w:tab w:val="left" w:pos="540"/>
          <w:tab w:val="left" w:pos="720"/>
        </w:tabs>
        <w:jc w:val="both"/>
        <w:rPr>
          <w:lang w:val="en-GB"/>
        </w:rPr>
      </w:pPr>
    </w:p>
    <w:p w:rsidR="00FC789E" w:rsidRPr="00097E81" w:rsidRDefault="00A51AE5" w:rsidP="00FC789E">
      <w:pPr>
        <w:pStyle w:val="ListParagraph1"/>
        <w:numPr>
          <w:ilvl w:val="0"/>
          <w:numId w:val="27"/>
        </w:numPr>
        <w:jc w:val="both"/>
        <w:rPr>
          <w:b/>
        </w:rPr>
      </w:pPr>
      <w:r w:rsidRPr="00097E81">
        <w:rPr>
          <w:b/>
        </w:rPr>
        <w:t xml:space="preserve">The </w:t>
      </w:r>
      <w:r w:rsidR="00FC789E" w:rsidRPr="00097E81">
        <w:rPr>
          <w:b/>
        </w:rPr>
        <w:t xml:space="preserve">Parties’ submissions </w:t>
      </w:r>
    </w:p>
    <w:p w:rsidR="00FC789E" w:rsidRPr="00097E81" w:rsidRDefault="00FC789E" w:rsidP="00FC789E">
      <w:pPr>
        <w:pStyle w:val="ListParagraph1"/>
        <w:tabs>
          <w:tab w:val="left" w:pos="540"/>
        </w:tabs>
        <w:ind w:left="540" w:hanging="360"/>
      </w:pPr>
    </w:p>
    <w:p w:rsidR="00FC789E" w:rsidRPr="00097E81" w:rsidRDefault="00FC789E" w:rsidP="00FC789E">
      <w:pPr>
        <w:numPr>
          <w:ilvl w:val="0"/>
          <w:numId w:val="5"/>
        </w:numPr>
        <w:suppressAutoHyphens/>
        <w:autoSpaceDE w:val="0"/>
        <w:jc w:val="both"/>
        <w:rPr>
          <w:lang w:val="en-GB"/>
        </w:rPr>
      </w:pPr>
      <w:r w:rsidRPr="00097E81">
        <w:rPr>
          <w:lang w:val="en-GB"/>
        </w:rPr>
        <w:t xml:space="preserve">The complainant alleges that the lack of information and certainty surrounding the </w:t>
      </w:r>
      <w:r w:rsidR="00114B0D" w:rsidRPr="00097E81">
        <w:rPr>
          <w:lang w:val="en-GB"/>
        </w:rPr>
        <w:t xml:space="preserve">disappearance </w:t>
      </w:r>
      <w:r w:rsidRPr="00097E81">
        <w:rPr>
          <w:lang w:val="en-GB"/>
        </w:rPr>
        <w:t>of her son, particularly because of UNMIK’s failure to properly investigate his disappearance, caused mental suffering to herself and her husband, whose untimely death was to a large extent due to this suffering.</w:t>
      </w:r>
    </w:p>
    <w:p w:rsidR="00FC789E" w:rsidRPr="00097E81" w:rsidRDefault="00FC789E" w:rsidP="00FC789E">
      <w:pPr>
        <w:pStyle w:val="Default"/>
        <w:tabs>
          <w:tab w:val="left" w:pos="360"/>
          <w:tab w:val="left" w:pos="709"/>
        </w:tabs>
        <w:ind w:left="709" w:hanging="567"/>
        <w:jc w:val="both"/>
        <w:rPr>
          <w:lang w:val="en-GB"/>
        </w:rPr>
      </w:pPr>
    </w:p>
    <w:p w:rsidR="00FC789E" w:rsidRPr="00097E81" w:rsidRDefault="00FC789E" w:rsidP="00FC789E">
      <w:pPr>
        <w:numPr>
          <w:ilvl w:val="0"/>
          <w:numId w:val="5"/>
        </w:numPr>
        <w:suppressAutoHyphens/>
        <w:autoSpaceDE w:val="0"/>
        <w:jc w:val="both"/>
        <w:rPr>
          <w:lang w:val="en-GB"/>
        </w:rPr>
      </w:pPr>
      <w:r w:rsidRPr="00097E81">
        <w:rPr>
          <w:lang w:val="en-GB"/>
        </w:rPr>
        <w:t>The SRSG, rejects this allegation, stressing that there were neither assertions made by the complainant of any bad faith on the part of UNMIK personnel involved with the matter, nor evidence of any disregard for the seriousness of the matter, or the emotions of the complainant and her family emanating from the disappearance and death of her son.</w:t>
      </w:r>
    </w:p>
    <w:p w:rsidR="00FC789E" w:rsidRPr="00097E81" w:rsidRDefault="00FC789E" w:rsidP="00FC789E">
      <w:pPr>
        <w:pStyle w:val="Default"/>
        <w:tabs>
          <w:tab w:val="left" w:pos="360"/>
          <w:tab w:val="left" w:pos="709"/>
        </w:tabs>
        <w:ind w:left="709" w:hanging="567"/>
        <w:jc w:val="both"/>
        <w:rPr>
          <w:lang w:val="en-GB"/>
        </w:rPr>
      </w:pPr>
    </w:p>
    <w:p w:rsidR="00FC789E" w:rsidRPr="00097E81" w:rsidRDefault="00FC789E" w:rsidP="00D62189">
      <w:pPr>
        <w:numPr>
          <w:ilvl w:val="0"/>
          <w:numId w:val="5"/>
        </w:numPr>
        <w:tabs>
          <w:tab w:val="clear" w:pos="360"/>
          <w:tab w:val="num" w:pos="450"/>
        </w:tabs>
        <w:suppressAutoHyphens/>
        <w:autoSpaceDE w:val="0"/>
        <w:ind w:left="450" w:hanging="450"/>
        <w:jc w:val="both"/>
        <w:rPr>
          <w:lang w:val="en-GB"/>
        </w:rPr>
      </w:pPr>
      <w:r w:rsidRPr="00097E81">
        <w:rPr>
          <w:lang w:val="en-GB"/>
        </w:rPr>
        <w:t>The SRSG adds that the understandable and apparent mental anguish and suffering of the complainant cannot be attributed to UNMIK, but rather results from the disappearance and death of her son. The SRSG concludes that the complainant’s suffering lacks a character distinct from the emotional distress which may be regarded as inevitably caused to the relatives of a victim of a serious human rights violation.</w:t>
      </w:r>
    </w:p>
    <w:p w:rsidR="00FC789E" w:rsidRPr="00097E81" w:rsidRDefault="00FC789E" w:rsidP="00FC789E">
      <w:pPr>
        <w:pStyle w:val="Default"/>
        <w:tabs>
          <w:tab w:val="left" w:pos="360"/>
          <w:tab w:val="left" w:pos="540"/>
          <w:tab w:val="left" w:pos="720"/>
        </w:tabs>
        <w:jc w:val="both"/>
        <w:rPr>
          <w:lang w:val="en-GB"/>
        </w:rPr>
      </w:pPr>
    </w:p>
    <w:p w:rsidR="00FC789E" w:rsidRPr="00097E81" w:rsidRDefault="00FC789E" w:rsidP="00FC789E">
      <w:pPr>
        <w:pStyle w:val="ListParagraph1"/>
        <w:numPr>
          <w:ilvl w:val="0"/>
          <w:numId w:val="27"/>
        </w:numPr>
        <w:jc w:val="both"/>
        <w:rPr>
          <w:b/>
        </w:rPr>
      </w:pPr>
      <w:r w:rsidRPr="00097E81">
        <w:rPr>
          <w:b/>
        </w:rPr>
        <w:t xml:space="preserve">The Panel’s assessment </w:t>
      </w:r>
    </w:p>
    <w:p w:rsidR="00FC789E" w:rsidRPr="00097E81" w:rsidRDefault="00FC789E" w:rsidP="00FC789E">
      <w:pPr>
        <w:pStyle w:val="Default"/>
        <w:tabs>
          <w:tab w:val="left" w:pos="360"/>
          <w:tab w:val="left" w:pos="540"/>
          <w:tab w:val="left" w:pos="720"/>
        </w:tabs>
        <w:jc w:val="both"/>
        <w:rPr>
          <w:lang w:val="en-GB"/>
        </w:rPr>
      </w:pPr>
    </w:p>
    <w:p w:rsidR="00FC789E" w:rsidRPr="00097E81" w:rsidRDefault="00FC789E" w:rsidP="00FC789E">
      <w:pPr>
        <w:pStyle w:val="ListParagraph1"/>
        <w:numPr>
          <w:ilvl w:val="0"/>
          <w:numId w:val="24"/>
        </w:numPr>
        <w:ind w:left="360"/>
        <w:jc w:val="both"/>
        <w:rPr>
          <w:i/>
          <w:color w:val="000000"/>
          <w:lang w:eastAsia="en-US"/>
        </w:rPr>
      </w:pPr>
      <w:r w:rsidRPr="00097E81">
        <w:rPr>
          <w:i/>
          <w:color w:val="000000"/>
          <w:lang w:eastAsia="en-US"/>
        </w:rPr>
        <w:t>General principles concerning the obligation under Article 3</w:t>
      </w:r>
    </w:p>
    <w:p w:rsidR="00FC789E" w:rsidRPr="00097E81" w:rsidRDefault="00FC789E" w:rsidP="00FC789E">
      <w:pPr>
        <w:pStyle w:val="Default"/>
        <w:tabs>
          <w:tab w:val="left" w:pos="360"/>
          <w:tab w:val="left" w:pos="540"/>
          <w:tab w:val="left" w:pos="720"/>
        </w:tabs>
        <w:ind w:hanging="360"/>
        <w:jc w:val="both"/>
        <w:rPr>
          <w:lang w:val="en-GB"/>
        </w:rPr>
      </w:pPr>
    </w:p>
    <w:p w:rsidR="00FC789E" w:rsidRPr="00097E81" w:rsidRDefault="00FC789E" w:rsidP="00D62189">
      <w:pPr>
        <w:numPr>
          <w:ilvl w:val="0"/>
          <w:numId w:val="5"/>
        </w:numPr>
        <w:tabs>
          <w:tab w:val="clear" w:pos="360"/>
          <w:tab w:val="num" w:pos="450"/>
        </w:tabs>
        <w:suppressAutoHyphens/>
        <w:autoSpaceDE w:val="0"/>
        <w:ind w:left="450" w:hanging="450"/>
        <w:jc w:val="both"/>
        <w:rPr>
          <w:lang w:val="en-GB"/>
        </w:rPr>
      </w:pPr>
      <w:r w:rsidRPr="00097E81">
        <w:rPr>
          <w:lang w:val="en-GB"/>
        </w:rPr>
        <w:t>Like Article 2, Article 3 of the ECHR enshrines one of the most</w:t>
      </w:r>
      <w:r w:rsidRPr="00097E81">
        <w:rPr>
          <w:color w:val="FF0000"/>
          <w:lang w:val="en-GB"/>
        </w:rPr>
        <w:t xml:space="preserve"> </w:t>
      </w:r>
      <w:r w:rsidRPr="00097E81">
        <w:rPr>
          <w:lang w:val="en-GB"/>
        </w:rPr>
        <w:t xml:space="preserve">fundamental values in democratic societies (ECtHR, </w:t>
      </w:r>
      <w:r w:rsidRPr="00097E81">
        <w:rPr>
          <w:i/>
          <w:lang w:val="en-GB"/>
        </w:rPr>
        <w:t>Talat Tepe v. Turkey</w:t>
      </w:r>
      <w:r w:rsidRPr="00097E81">
        <w:rPr>
          <w:lang w:val="en-GB"/>
        </w:rPr>
        <w:t xml:space="preserve">, no. 31247/96, 21 December 2004, § 47; ECtHR (Grand Chamber), </w:t>
      </w:r>
      <w:r w:rsidRPr="00097E81">
        <w:rPr>
          <w:i/>
          <w:lang w:val="en-GB"/>
        </w:rPr>
        <w:t>Ilaşcu and Others v. Moldova and Russia</w:t>
      </w:r>
      <w:r w:rsidRPr="00097E81">
        <w:rPr>
          <w:lang w:val="en-GB"/>
        </w:rPr>
        <w:t xml:space="preserve">, no. 48787/99, judgment of 8 July 2004, </w:t>
      </w:r>
      <w:r w:rsidRPr="00097E81">
        <w:rPr>
          <w:i/>
          <w:lang w:val="en-GB"/>
        </w:rPr>
        <w:t>ECHR</w:t>
      </w:r>
      <w:r w:rsidRPr="00097E81">
        <w:rPr>
          <w:lang w:val="en-GB"/>
        </w:rPr>
        <w:t>, 2004-VII, § 424). As confirmed by the absolute nature conferred on it by Article 15 § 2 of the ECHR, the prohibition of torture and inhuman and degrading treatment still applies even in most difficult circumstances.</w:t>
      </w:r>
      <w:r w:rsidRPr="00097E81">
        <w:rPr>
          <w:color w:val="0000FF"/>
        </w:rPr>
        <w:t xml:space="preserve"> </w:t>
      </w:r>
    </w:p>
    <w:p w:rsidR="00FC789E" w:rsidRPr="00097E81" w:rsidRDefault="00FC789E" w:rsidP="00FC789E">
      <w:pPr>
        <w:pStyle w:val="Default"/>
        <w:tabs>
          <w:tab w:val="left" w:pos="360"/>
          <w:tab w:val="left" w:pos="540"/>
          <w:tab w:val="left" w:pos="720"/>
        </w:tabs>
        <w:ind w:hanging="360"/>
        <w:jc w:val="both"/>
        <w:rPr>
          <w:lang w:val="en-GB"/>
        </w:rPr>
      </w:pPr>
    </w:p>
    <w:p w:rsidR="00FC789E" w:rsidRPr="00097E81" w:rsidRDefault="00FC789E" w:rsidP="00D62189">
      <w:pPr>
        <w:numPr>
          <w:ilvl w:val="0"/>
          <w:numId w:val="5"/>
        </w:numPr>
        <w:tabs>
          <w:tab w:val="clear" w:pos="360"/>
          <w:tab w:val="num" w:pos="450"/>
        </w:tabs>
        <w:suppressAutoHyphens/>
        <w:autoSpaceDE w:val="0"/>
        <w:ind w:left="450" w:hanging="450"/>
        <w:jc w:val="both"/>
        <w:rPr>
          <w:lang w:val="en-GB"/>
        </w:rPr>
      </w:pPr>
      <w:r w:rsidRPr="00097E81">
        <w:rPr>
          <w:lang w:val="en-GB"/>
        </w:rPr>
        <w:t>Setting out the general principles applicable to situations where violations of the obligation under Article 3 of the ECHR are alleged, the Panel notes that the phenomenon of disappearance constitutes a</w:t>
      </w:r>
      <w:r w:rsidRPr="00097E81">
        <w:t xml:space="preserve"> complex form of human rights violation that must be understood and confronted in an integral</w:t>
      </w:r>
      <w:r w:rsidR="009A5F4E" w:rsidRPr="00097E81">
        <w:t xml:space="preserve"> fashion</w:t>
      </w:r>
      <w:r w:rsidRPr="00097E81">
        <w:t xml:space="preserve"> </w:t>
      </w:r>
      <w:r w:rsidRPr="00097E81">
        <w:rPr>
          <w:lang w:val="en-GB"/>
        </w:rPr>
        <w:t xml:space="preserve">(see IACtHR, </w:t>
      </w:r>
      <w:r w:rsidRPr="00097E81">
        <w:rPr>
          <w:i/>
          <w:lang w:val="en-GB"/>
        </w:rPr>
        <w:t>Velasquez Rodriguez v. Honduras</w:t>
      </w:r>
      <w:r w:rsidRPr="00097E81">
        <w:rPr>
          <w:lang w:val="en-GB"/>
        </w:rPr>
        <w:t xml:space="preserve">, cited in § </w:t>
      </w:r>
      <w:fldSimple w:instr=" REF _Ref348539776 \r \h  \* MERGEFORMAT ">
        <w:r w:rsidR="00F75BE2" w:rsidRPr="00097E81">
          <w:rPr>
            <w:lang w:val="en-GB"/>
          </w:rPr>
          <w:t>65</w:t>
        </w:r>
      </w:fldSimple>
      <w:r w:rsidRPr="00097E81">
        <w:rPr>
          <w:lang w:val="en-GB"/>
        </w:rPr>
        <w:t xml:space="preserve"> above, at § 150).</w:t>
      </w:r>
    </w:p>
    <w:p w:rsidR="00FC789E" w:rsidRPr="00097E81" w:rsidRDefault="00FC789E" w:rsidP="00FC789E">
      <w:pPr>
        <w:pStyle w:val="Default"/>
        <w:tabs>
          <w:tab w:val="left" w:pos="360"/>
          <w:tab w:val="left" w:pos="709"/>
        </w:tabs>
        <w:ind w:left="709" w:hanging="567"/>
        <w:jc w:val="both"/>
        <w:rPr>
          <w:lang w:val="en-GB"/>
        </w:rPr>
      </w:pPr>
    </w:p>
    <w:p w:rsidR="00FC789E" w:rsidRPr="00097E81" w:rsidRDefault="00FC789E" w:rsidP="00D62189">
      <w:pPr>
        <w:numPr>
          <w:ilvl w:val="0"/>
          <w:numId w:val="5"/>
        </w:numPr>
        <w:tabs>
          <w:tab w:val="clear" w:pos="360"/>
          <w:tab w:val="num" w:pos="450"/>
        </w:tabs>
        <w:suppressAutoHyphens/>
        <w:autoSpaceDE w:val="0"/>
        <w:ind w:left="450" w:hanging="450"/>
        <w:jc w:val="both"/>
        <w:rPr>
          <w:lang w:val="en-GB"/>
        </w:rPr>
      </w:pPr>
      <w:r w:rsidRPr="00097E81">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FC789E" w:rsidRPr="00097E81" w:rsidRDefault="00FC789E" w:rsidP="00FC789E">
      <w:pPr>
        <w:pStyle w:val="Default"/>
        <w:tabs>
          <w:tab w:val="left" w:pos="360"/>
          <w:tab w:val="left" w:pos="709"/>
        </w:tabs>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t>The HRC has also recognised disappearances as a serious violation of human rights.</w:t>
      </w:r>
      <w:r w:rsidRPr="00097E81">
        <w:rPr>
          <w:lang w:val="en-GB"/>
        </w:rPr>
        <w:t xml:space="preserve"> In its decision of 21 July 1983, in the case </w:t>
      </w:r>
      <w:r w:rsidRPr="00097E81">
        <w:rPr>
          <w:i/>
          <w:lang w:val="en-GB"/>
        </w:rPr>
        <w:t>Quinteros v. Urugay</w:t>
      </w:r>
      <w:r w:rsidRPr="00097E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097E81">
        <w:rPr>
          <w:i/>
          <w:lang w:val="en-GB"/>
        </w:rPr>
        <w:t>Mojica v. Dominican Republic</w:t>
      </w:r>
      <w:r w:rsidRPr="00097E81">
        <w:rPr>
          <w:lang w:val="en-GB"/>
        </w:rPr>
        <w:t xml:space="preserve">, the HRC has deemed that “the disappearance of </w:t>
      </w:r>
      <w:r w:rsidRPr="00097E81">
        <w:rPr>
          <w:color w:val="auto"/>
          <w:lang w:val="en-GB"/>
        </w:rPr>
        <w:t xml:space="preserve">persons is inseparably linked to treatment that amounts to a violation of article 7 </w:t>
      </w:r>
      <w:r w:rsidRPr="00097E81">
        <w:rPr>
          <w:color w:val="auto"/>
          <w:lang w:val="en-GB"/>
        </w:rPr>
        <w:sym w:font="Symbol" w:char="F05B"/>
      </w:r>
      <w:r w:rsidRPr="00097E81">
        <w:rPr>
          <w:color w:val="auto"/>
          <w:lang w:val="en-GB"/>
        </w:rPr>
        <w:t>of the Covenant</w:t>
      </w:r>
      <w:r w:rsidRPr="00097E81">
        <w:rPr>
          <w:color w:val="auto"/>
          <w:lang w:val="en-GB"/>
        </w:rPr>
        <w:sym w:font="Symbol" w:char="F05D"/>
      </w:r>
      <w:r w:rsidRPr="00097E81">
        <w:rPr>
          <w:color w:val="auto"/>
          <w:lang w:val="en-GB"/>
        </w:rPr>
        <w:t>”</w:t>
      </w:r>
      <w:r w:rsidR="008126F2" w:rsidRPr="00097E81">
        <w:rPr>
          <w:color w:val="auto"/>
          <w:lang w:val="en-GB"/>
        </w:rPr>
        <w:t>, also prohibiting torture, inhumane or degrading treatment</w:t>
      </w:r>
      <w:r w:rsidRPr="00097E81">
        <w:rPr>
          <w:color w:val="auto"/>
          <w:lang w:val="en-GB"/>
        </w:rPr>
        <w:t xml:space="preserve"> </w:t>
      </w:r>
      <w:r w:rsidR="008126F2" w:rsidRPr="00097E81">
        <w:rPr>
          <w:color w:val="auto"/>
          <w:lang w:val="en-GB"/>
        </w:rPr>
        <w:t xml:space="preserve">and punishment </w:t>
      </w:r>
      <w:r w:rsidRPr="00097E81">
        <w:rPr>
          <w:color w:val="auto"/>
          <w:lang w:val="en-GB"/>
        </w:rPr>
        <w:t>(see</w:t>
      </w:r>
      <w:r w:rsidRPr="00097E81">
        <w:rPr>
          <w:lang w:val="en-GB"/>
        </w:rPr>
        <w:t xml:space="preserve"> HRC, </w:t>
      </w:r>
      <w:r w:rsidRPr="00097E81">
        <w:rPr>
          <w:bCs/>
        </w:rPr>
        <w:t xml:space="preserve">Communication No. 449/1991, U.N. Doc. CCPR/C/51/D/449/1991 (1994), </w:t>
      </w:r>
      <w:r w:rsidRPr="00097E81">
        <w:rPr>
          <w:lang w:val="en-GB"/>
        </w:rPr>
        <w:t>§ 5.7).</w:t>
      </w:r>
    </w:p>
    <w:p w:rsidR="00FC789E" w:rsidRPr="00097E81" w:rsidRDefault="00FC789E" w:rsidP="00FC789E">
      <w:pPr>
        <w:pStyle w:val="Default"/>
        <w:tabs>
          <w:tab w:val="left" w:pos="360"/>
          <w:tab w:val="left" w:pos="709"/>
        </w:tabs>
        <w:ind w:left="709" w:hanging="567"/>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097E81">
        <w:rPr>
          <w:lang w:val="en-GB"/>
        </w:rPr>
        <w:sym w:font="Symbol" w:char="F05B"/>
      </w:r>
      <w:r w:rsidRPr="00097E81">
        <w:rPr>
          <w:lang w:val="en-GB"/>
        </w:rPr>
        <w:t>family member</w:t>
      </w:r>
      <w:r w:rsidRPr="00097E81">
        <w:rPr>
          <w:lang w:val="en-GB"/>
        </w:rPr>
        <w:sym w:font="Symbol" w:char="F05D"/>
      </w:r>
      <w:r w:rsidRPr="00097E81">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097E81">
        <w:rPr>
          <w:i/>
          <w:lang w:val="en-GB"/>
        </w:rPr>
        <w:t>Baysayeva and Others v. Russia</w:t>
      </w:r>
      <w:r w:rsidRPr="00097E81">
        <w:rPr>
          <w:lang w:val="en-GB"/>
        </w:rPr>
        <w:t xml:space="preserve">, nos. 15441/05 and 20731/04, judgment of 28 May 2009, § 159; ECtHR, </w:t>
      </w:r>
      <w:r w:rsidRPr="00097E81">
        <w:rPr>
          <w:i/>
          <w:lang w:val="en-GB"/>
        </w:rPr>
        <w:t>Er and Others v. Turkey</w:t>
      </w:r>
      <w:r w:rsidRPr="00097E81">
        <w:rPr>
          <w:lang w:val="en-GB"/>
        </w:rPr>
        <w:t xml:space="preserve">, cited in § </w:t>
      </w:r>
      <w:fldSimple w:instr=" REF _Ref354588604 \r \h  \* MERGEFORMAT ">
        <w:r w:rsidR="00DF68DA" w:rsidRPr="00097E81">
          <w:rPr>
            <w:lang w:val="en-GB"/>
          </w:rPr>
          <w:t>96</w:t>
        </w:r>
      </w:fldSimple>
      <w:r w:rsidR="00DF68DA" w:rsidRPr="00097E81">
        <w:rPr>
          <w:lang w:val="en-GB"/>
        </w:rPr>
        <w:t xml:space="preserve"> </w:t>
      </w:r>
      <w:r w:rsidRPr="00097E81">
        <w:rPr>
          <w:lang w:val="en-GB"/>
        </w:rPr>
        <w:t>above, at § 94).</w:t>
      </w:r>
    </w:p>
    <w:p w:rsidR="009A5F4E" w:rsidRPr="00097E81" w:rsidRDefault="009A5F4E" w:rsidP="00FC789E">
      <w:pPr>
        <w:pStyle w:val="Default"/>
        <w:ind w:left="450"/>
        <w:jc w:val="both"/>
        <w:rPr>
          <w:lang w:val="en-GB"/>
        </w:rPr>
      </w:pPr>
    </w:p>
    <w:p w:rsidR="00FC789E" w:rsidRPr="00097E81" w:rsidRDefault="00FC789E" w:rsidP="00FC789E">
      <w:pPr>
        <w:pStyle w:val="Default"/>
        <w:numPr>
          <w:ilvl w:val="0"/>
          <w:numId w:val="5"/>
        </w:numPr>
        <w:tabs>
          <w:tab w:val="clear" w:pos="360"/>
          <w:tab w:val="num" w:pos="450"/>
          <w:tab w:val="left" w:pos="709"/>
        </w:tabs>
        <w:ind w:left="450" w:hanging="450"/>
        <w:jc w:val="both"/>
        <w:rPr>
          <w:color w:val="auto"/>
          <w:lang w:val="en-GB"/>
        </w:rPr>
      </w:pPr>
      <w:r w:rsidRPr="00097E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097E81">
        <w:rPr>
          <w:i/>
          <w:lang w:val="en-GB"/>
        </w:rPr>
        <w:t>Er and Others v. Turkey,</w:t>
      </w:r>
      <w:r w:rsidRPr="00097E81">
        <w:rPr>
          <w:lang w:val="en-GB"/>
        </w:rPr>
        <w:t xml:space="preserve"> cited in § </w:t>
      </w:r>
      <w:fldSimple w:instr=" REF _Ref354588604 \r \h  \* MERGEFORMAT ">
        <w:r w:rsidR="00FD694B" w:rsidRPr="00097E81">
          <w:rPr>
            <w:lang w:val="en-GB"/>
          </w:rPr>
          <w:t>96</w:t>
        </w:r>
      </w:fldSimple>
      <w:r w:rsidR="00FD694B" w:rsidRPr="00097E81">
        <w:rPr>
          <w:lang w:val="en-GB"/>
        </w:rPr>
        <w:t xml:space="preserve"> </w:t>
      </w:r>
      <w:r w:rsidRPr="00097E81">
        <w:rPr>
          <w:lang w:val="en-GB"/>
        </w:rPr>
        <w:t xml:space="preserve">above, at § 96; ECtHR, </w:t>
      </w:r>
      <w:r w:rsidRPr="00097E81">
        <w:rPr>
          <w:i/>
          <w:lang w:val="en-GB"/>
        </w:rPr>
        <w:t>Osmanoğlu v. Turkey,</w:t>
      </w:r>
      <w:r w:rsidRPr="00097E81">
        <w:rPr>
          <w:lang w:val="en-GB"/>
        </w:rPr>
        <w:t xml:space="preserve"> no. 48804/99, judgment of 24 January 2008, § 97). Another factor leading to </w:t>
      </w:r>
      <w:r w:rsidRPr="00097E81">
        <w:rPr>
          <w:color w:val="auto"/>
          <w:lang w:val="en-GB"/>
        </w:rPr>
        <w:t xml:space="preserve">a finding of violation of Article 3 of the ECHR is the continuous nature of the psychological suffering of relatives of a victim of a disappearance (ECtHR, </w:t>
      </w:r>
      <w:r w:rsidRPr="00097E81">
        <w:rPr>
          <w:i/>
          <w:color w:val="auto"/>
          <w:lang w:val="en-GB"/>
        </w:rPr>
        <w:t>Salakhov and Islyamova v. Ukraine,</w:t>
      </w:r>
      <w:r w:rsidRPr="00097E81">
        <w:rPr>
          <w:color w:val="auto"/>
          <w:lang w:val="en-GB"/>
        </w:rPr>
        <w:t xml:space="preserve"> no. 28005/08, judgment of 14 March 2013, § 201).</w:t>
      </w:r>
    </w:p>
    <w:p w:rsidR="00FC789E" w:rsidRPr="00097E81" w:rsidRDefault="00FC789E" w:rsidP="00FC789E">
      <w:pPr>
        <w:pStyle w:val="Default"/>
        <w:tabs>
          <w:tab w:val="left" w:pos="360"/>
          <w:tab w:val="left" w:pos="720"/>
        </w:tabs>
        <w:jc w:val="both"/>
        <w:rPr>
          <w:color w:val="auto"/>
          <w:lang w:val="en-GB"/>
        </w:rPr>
      </w:pPr>
    </w:p>
    <w:p w:rsidR="00FC789E" w:rsidRPr="00097E81" w:rsidRDefault="00FC789E" w:rsidP="00FC789E">
      <w:pPr>
        <w:pStyle w:val="Default"/>
        <w:numPr>
          <w:ilvl w:val="0"/>
          <w:numId w:val="5"/>
        </w:numPr>
        <w:tabs>
          <w:tab w:val="clear" w:pos="360"/>
          <w:tab w:val="num" w:pos="450"/>
        </w:tabs>
        <w:ind w:left="450" w:hanging="450"/>
        <w:jc w:val="both"/>
        <w:rPr>
          <w:color w:val="000000" w:themeColor="text1"/>
          <w:lang w:val="en-GB"/>
        </w:rPr>
      </w:pPr>
      <w:r w:rsidRPr="00097E81">
        <w:rPr>
          <w:color w:val="auto"/>
          <w:lang w:val="en-GB"/>
        </w:rPr>
        <w:t xml:space="preserve">The HRC </w:t>
      </w:r>
      <w:r w:rsidRPr="00097E81">
        <w:rPr>
          <w:color w:val="000000" w:themeColor="text1"/>
          <w:lang w:val="en-GB"/>
        </w:rPr>
        <w:t>has also considered the issue and recognised family members of disappeared or missing persons as victims of a violation of Article 7 of the Covenant: parents (</w:t>
      </w:r>
      <w:r w:rsidRPr="00097E81">
        <w:rPr>
          <w:i/>
          <w:color w:val="000000" w:themeColor="text1"/>
          <w:lang w:val="en-GB"/>
        </w:rPr>
        <w:t>Boucherf v. Algeria</w:t>
      </w:r>
      <w:r w:rsidRPr="00097E81">
        <w:rPr>
          <w:color w:val="000000" w:themeColor="text1"/>
          <w:lang w:val="en-GB"/>
        </w:rPr>
        <w:t xml:space="preserve">, </w:t>
      </w:r>
      <w:r w:rsidR="00962772" w:rsidRPr="00097E81">
        <w:rPr>
          <w:bCs/>
          <w:color w:val="000000" w:themeColor="text1"/>
        </w:rPr>
        <w:t>Communication No. 1196/2003</w:t>
      </w:r>
      <w:r w:rsidR="00962772" w:rsidRPr="00097E81">
        <w:rPr>
          <w:color w:val="000000" w:themeColor="text1"/>
          <w:lang w:val="en-GB"/>
        </w:rPr>
        <w:t xml:space="preserve">, views of </w:t>
      </w:r>
      <w:r w:rsidRPr="00097E81">
        <w:rPr>
          <w:color w:val="000000" w:themeColor="text1"/>
          <w:lang w:val="en-GB"/>
        </w:rPr>
        <w:t>30 March 2006, § 9.7</w:t>
      </w:r>
      <w:r w:rsidR="00962772" w:rsidRPr="00097E81">
        <w:rPr>
          <w:color w:val="000000" w:themeColor="text1"/>
          <w:lang w:val="en-GB"/>
        </w:rPr>
        <w:t xml:space="preserve">, </w:t>
      </w:r>
      <w:r w:rsidR="00962772" w:rsidRPr="00097E81">
        <w:rPr>
          <w:color w:val="000000" w:themeColor="text1"/>
        </w:rPr>
        <w:t>CCPR/C/86/D/1196/2003</w:t>
      </w:r>
      <w:r w:rsidRPr="00097E81">
        <w:rPr>
          <w:color w:val="000000" w:themeColor="text1"/>
          <w:lang w:val="en-GB"/>
        </w:rPr>
        <w:t>), children (</w:t>
      </w:r>
      <w:r w:rsidRPr="00097E81">
        <w:rPr>
          <w:i/>
          <w:color w:val="000000" w:themeColor="text1"/>
          <w:lang w:val="en-GB"/>
        </w:rPr>
        <w:t>Zarzi v. Algeria</w:t>
      </w:r>
      <w:r w:rsidRPr="00097E81">
        <w:rPr>
          <w:color w:val="000000" w:themeColor="text1"/>
          <w:lang w:val="en-GB"/>
        </w:rPr>
        <w:t xml:space="preserve">, </w:t>
      </w:r>
      <w:r w:rsidR="00962772" w:rsidRPr="00097E81">
        <w:rPr>
          <w:bCs/>
          <w:color w:val="000000" w:themeColor="text1"/>
        </w:rPr>
        <w:t>Communication No. 1780/2008</w:t>
      </w:r>
      <w:r w:rsidR="00962772" w:rsidRPr="00097E81">
        <w:rPr>
          <w:color w:val="000000" w:themeColor="text1"/>
          <w:lang w:val="en-GB"/>
        </w:rPr>
        <w:t xml:space="preserve">, views of </w:t>
      </w:r>
      <w:r w:rsidRPr="00097E81">
        <w:rPr>
          <w:color w:val="000000" w:themeColor="text1"/>
          <w:lang w:val="en-GB"/>
        </w:rPr>
        <w:t>22 March 2011, § 7.6</w:t>
      </w:r>
      <w:r w:rsidR="00962772" w:rsidRPr="00097E81">
        <w:rPr>
          <w:color w:val="000000" w:themeColor="text1"/>
          <w:lang w:val="en-GB"/>
        </w:rPr>
        <w:t xml:space="preserve">, </w:t>
      </w:r>
      <w:r w:rsidR="00962772" w:rsidRPr="00097E81">
        <w:rPr>
          <w:bCs/>
          <w:color w:val="000000" w:themeColor="text1"/>
        </w:rPr>
        <w:t>CCPR/C/101/D/1780/2008</w:t>
      </w:r>
      <w:r w:rsidRPr="00097E81">
        <w:rPr>
          <w:color w:val="000000" w:themeColor="text1"/>
          <w:lang w:val="en-GB"/>
        </w:rPr>
        <w:t>), siblings (</w:t>
      </w:r>
      <w:r w:rsidRPr="00097E81">
        <w:rPr>
          <w:i/>
          <w:color w:val="000000" w:themeColor="text1"/>
          <w:lang w:val="en-GB"/>
        </w:rPr>
        <w:t>El Abani v. Libya</w:t>
      </w:r>
      <w:r w:rsidR="00C33D02" w:rsidRPr="00097E81">
        <w:rPr>
          <w:i/>
          <w:color w:val="000000" w:themeColor="text1"/>
          <w:lang w:val="en-GB"/>
        </w:rPr>
        <w:t>n Arab Jamahiriya</w:t>
      </w:r>
      <w:r w:rsidRPr="00097E81">
        <w:rPr>
          <w:i/>
          <w:color w:val="000000" w:themeColor="text1"/>
          <w:lang w:val="en-GB"/>
        </w:rPr>
        <w:t>,</w:t>
      </w:r>
      <w:r w:rsidRPr="00097E81">
        <w:rPr>
          <w:color w:val="000000" w:themeColor="text1"/>
          <w:lang w:val="en-GB"/>
        </w:rPr>
        <w:t xml:space="preserve"> </w:t>
      </w:r>
      <w:r w:rsidR="00962772" w:rsidRPr="00097E81">
        <w:rPr>
          <w:bCs/>
          <w:color w:val="000000" w:themeColor="text1"/>
        </w:rPr>
        <w:t>Communication No. 1640/2007</w:t>
      </w:r>
      <w:r w:rsidR="00962772" w:rsidRPr="00097E81">
        <w:rPr>
          <w:color w:val="000000" w:themeColor="text1"/>
          <w:lang w:val="en-GB"/>
        </w:rPr>
        <w:t xml:space="preserve">, views of </w:t>
      </w:r>
      <w:r w:rsidR="00214CE4" w:rsidRPr="00097E81">
        <w:rPr>
          <w:color w:val="000000" w:themeColor="text1"/>
          <w:lang w:val="en-GB"/>
        </w:rPr>
        <w:t xml:space="preserve">26 July 2010, </w:t>
      </w:r>
      <w:r w:rsidRPr="00097E81">
        <w:rPr>
          <w:color w:val="000000" w:themeColor="text1"/>
          <w:lang w:val="en-GB"/>
        </w:rPr>
        <w:t>§ 7.5</w:t>
      </w:r>
      <w:r w:rsidR="00962772" w:rsidRPr="00097E81">
        <w:rPr>
          <w:color w:val="000000" w:themeColor="text1"/>
          <w:lang w:val="en-GB"/>
        </w:rPr>
        <w:t xml:space="preserve">, </w:t>
      </w:r>
      <w:r w:rsidR="00962772" w:rsidRPr="00097E81">
        <w:rPr>
          <w:bCs/>
          <w:color w:val="000000" w:themeColor="text1"/>
        </w:rPr>
        <w:t>CCPR/C/99/D/1640/2007</w:t>
      </w:r>
      <w:r w:rsidRPr="00097E81">
        <w:rPr>
          <w:color w:val="000000" w:themeColor="text1"/>
          <w:lang w:val="en-GB"/>
        </w:rPr>
        <w:t>), spouses (</w:t>
      </w:r>
      <w:r w:rsidRPr="00097E81">
        <w:rPr>
          <w:i/>
          <w:color w:val="000000" w:themeColor="text1"/>
          <w:lang w:val="en-GB"/>
        </w:rPr>
        <w:t>Bousroual v. Algeria</w:t>
      </w:r>
      <w:r w:rsidRPr="00097E81">
        <w:rPr>
          <w:color w:val="000000" w:themeColor="text1"/>
          <w:lang w:val="en-GB"/>
        </w:rPr>
        <w:t xml:space="preserve">, </w:t>
      </w:r>
      <w:r w:rsidR="00661E8F" w:rsidRPr="00097E81">
        <w:rPr>
          <w:bCs/>
          <w:color w:val="000000" w:themeColor="text1"/>
        </w:rPr>
        <w:t>Communication No. 992/2001, views of</w:t>
      </w:r>
      <w:r w:rsidR="00661E8F" w:rsidRPr="00097E81">
        <w:rPr>
          <w:color w:val="000000" w:themeColor="text1"/>
        </w:rPr>
        <w:t xml:space="preserve"> </w:t>
      </w:r>
      <w:r w:rsidRPr="00097E81">
        <w:rPr>
          <w:color w:val="000000" w:themeColor="text1"/>
          <w:lang w:val="en-GB"/>
        </w:rPr>
        <w:t>30 March 2006, § 9.8</w:t>
      </w:r>
      <w:r w:rsidR="00661E8F" w:rsidRPr="00097E81">
        <w:rPr>
          <w:color w:val="000000" w:themeColor="text1"/>
          <w:lang w:val="en-GB"/>
        </w:rPr>
        <w:t xml:space="preserve">, </w:t>
      </w:r>
      <w:r w:rsidR="00661E8F" w:rsidRPr="00097E81">
        <w:rPr>
          <w:color w:val="000000" w:themeColor="text1"/>
        </w:rPr>
        <w:t>CCPR/C/86/D/992/2001</w:t>
      </w:r>
      <w:r w:rsidRPr="00097E81">
        <w:rPr>
          <w:color w:val="000000" w:themeColor="text1"/>
          <w:lang w:val="en-GB"/>
        </w:rPr>
        <w:t>), aunts and uncles (</w:t>
      </w:r>
      <w:r w:rsidRPr="00097E81">
        <w:rPr>
          <w:i/>
          <w:color w:val="000000" w:themeColor="text1"/>
          <w:lang w:val="en-GB"/>
        </w:rPr>
        <w:t>Benaziza v. Algeria</w:t>
      </w:r>
      <w:r w:rsidRPr="00097E81">
        <w:rPr>
          <w:color w:val="000000" w:themeColor="text1"/>
          <w:lang w:val="en-GB"/>
        </w:rPr>
        <w:t xml:space="preserve">, </w:t>
      </w:r>
      <w:r w:rsidR="00962772" w:rsidRPr="00097E81">
        <w:rPr>
          <w:color w:val="000000" w:themeColor="text1"/>
          <w:lang w:val="en-GB"/>
        </w:rPr>
        <w:t xml:space="preserve">cited in § </w:t>
      </w:r>
      <w:fldSimple w:instr=" REF _Ref354502773 \r \h  \* MERGEFORMAT ">
        <w:r w:rsidR="00962772" w:rsidRPr="00097E81">
          <w:rPr>
            <w:color w:val="000000" w:themeColor="text1"/>
            <w:lang w:val="en-GB"/>
          </w:rPr>
          <w:t>63</w:t>
        </w:r>
      </w:fldSimple>
      <w:r w:rsidR="00962772" w:rsidRPr="00097E81">
        <w:rPr>
          <w:color w:val="000000" w:themeColor="text1"/>
          <w:lang w:val="en-GB"/>
        </w:rPr>
        <w:t xml:space="preserve"> above, at </w:t>
      </w:r>
      <w:r w:rsidRPr="00097E81">
        <w:rPr>
          <w:color w:val="000000" w:themeColor="text1"/>
          <w:lang w:val="en-GB"/>
        </w:rPr>
        <w:t>§ 10), grandchildren (</w:t>
      </w:r>
      <w:r w:rsidRPr="00097E81">
        <w:rPr>
          <w:i/>
          <w:color w:val="000000" w:themeColor="text1"/>
          <w:lang w:val="en-GB"/>
        </w:rPr>
        <w:t>ibid.</w:t>
      </w:r>
      <w:r w:rsidRPr="00097E81">
        <w:rPr>
          <w:color w:val="000000" w:themeColor="text1"/>
          <w:lang w:val="en-GB"/>
        </w:rPr>
        <w:t>) and even cousins (</w:t>
      </w:r>
      <w:r w:rsidRPr="00097E81">
        <w:rPr>
          <w:i/>
          <w:color w:val="000000" w:themeColor="text1"/>
          <w:lang w:val="en-GB"/>
        </w:rPr>
        <w:t>Bashasha v. Libya</w:t>
      </w:r>
      <w:r w:rsidR="00962772" w:rsidRPr="00097E81">
        <w:rPr>
          <w:i/>
          <w:color w:val="000000" w:themeColor="text1"/>
          <w:lang w:val="en-GB"/>
        </w:rPr>
        <w:t xml:space="preserve">n </w:t>
      </w:r>
      <w:r w:rsidR="00962772" w:rsidRPr="00097E81">
        <w:rPr>
          <w:i/>
          <w:color w:val="000000" w:themeColor="text1"/>
        </w:rPr>
        <w:t>Arab Jamahiriya</w:t>
      </w:r>
      <w:r w:rsidRPr="00097E81">
        <w:rPr>
          <w:color w:val="000000" w:themeColor="text1"/>
          <w:lang w:val="en-GB"/>
        </w:rPr>
        <w:t xml:space="preserve">, </w:t>
      </w:r>
      <w:r w:rsidR="00962772" w:rsidRPr="00097E81">
        <w:rPr>
          <w:color w:val="000000" w:themeColor="text1"/>
          <w:lang w:val="en-GB"/>
        </w:rPr>
        <w:t xml:space="preserve">cited in § </w:t>
      </w:r>
      <w:fldSimple w:instr=" REF _Ref354502773 \r \h  \* MERGEFORMAT ">
        <w:r w:rsidR="00962772" w:rsidRPr="00097E81">
          <w:rPr>
            <w:color w:val="000000" w:themeColor="text1"/>
            <w:lang w:val="en-GB"/>
          </w:rPr>
          <w:t>63</w:t>
        </w:r>
      </w:fldSimple>
      <w:r w:rsidR="00962772" w:rsidRPr="00097E81">
        <w:rPr>
          <w:color w:val="000000" w:themeColor="text1"/>
          <w:lang w:val="en-GB"/>
        </w:rPr>
        <w:t xml:space="preserve"> above, at </w:t>
      </w:r>
      <w:r w:rsidRPr="00097E81">
        <w:rPr>
          <w:color w:val="000000" w:themeColor="text1"/>
          <w:lang w:val="en-GB"/>
        </w:rPr>
        <w:t>§ 7.5).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097E81">
        <w:rPr>
          <w:i/>
          <w:color w:val="000000" w:themeColor="text1"/>
          <w:lang w:val="en-GB"/>
        </w:rPr>
        <w:t xml:space="preserve">Aboussedra v. </w:t>
      </w:r>
      <w:r w:rsidR="00C33D02" w:rsidRPr="00097E81">
        <w:rPr>
          <w:i/>
          <w:color w:val="000000" w:themeColor="text1"/>
          <w:lang w:val="en-GB"/>
        </w:rPr>
        <w:t>Libyan Arab Jamahiriya</w:t>
      </w:r>
      <w:r w:rsidRPr="00097E81">
        <w:rPr>
          <w:color w:val="000000" w:themeColor="text1"/>
          <w:lang w:val="en-GB"/>
        </w:rPr>
        <w:t xml:space="preserve">, </w:t>
      </w:r>
      <w:r w:rsidR="00C33D02" w:rsidRPr="00097E81">
        <w:rPr>
          <w:bCs/>
          <w:color w:val="000000" w:themeColor="text1"/>
        </w:rPr>
        <w:t>Communication No. 1751/2008,</w:t>
      </w:r>
      <w:r w:rsidR="00C33D02" w:rsidRPr="00097E81">
        <w:rPr>
          <w:color w:val="000000" w:themeColor="text1"/>
          <w:lang w:val="en-GB"/>
        </w:rPr>
        <w:t xml:space="preserve"> views of </w:t>
      </w:r>
      <w:r w:rsidRPr="00097E81">
        <w:rPr>
          <w:color w:val="000000" w:themeColor="text1"/>
          <w:lang w:val="en-GB"/>
        </w:rPr>
        <w:t>25 October 2010, § 7.5</w:t>
      </w:r>
      <w:r w:rsidR="008B53E9" w:rsidRPr="00097E81">
        <w:rPr>
          <w:color w:val="000000" w:themeColor="text1"/>
          <w:lang w:val="en-GB"/>
        </w:rPr>
        <w:t xml:space="preserve">, </w:t>
      </w:r>
      <w:r w:rsidR="008B53E9" w:rsidRPr="00097E81">
        <w:rPr>
          <w:bCs/>
          <w:color w:val="000000" w:themeColor="text1"/>
        </w:rPr>
        <w:t>CCPR/C/100/D/1751/2008</w:t>
      </w:r>
      <w:r w:rsidRPr="00097E81">
        <w:rPr>
          <w:color w:val="000000" w:themeColor="text1"/>
          <w:lang w:val="en-GB"/>
        </w:rPr>
        <w:t xml:space="preserve">). In the </w:t>
      </w:r>
      <w:r w:rsidRPr="00097E81">
        <w:rPr>
          <w:i/>
          <w:color w:val="000000" w:themeColor="text1"/>
          <w:lang w:val="en-GB"/>
        </w:rPr>
        <w:t>Amirov v. Russian Federation</w:t>
      </w:r>
      <w:r w:rsidRPr="00097E81">
        <w:rPr>
          <w:color w:val="000000" w:themeColor="text1"/>
          <w:lang w:val="en-GB"/>
        </w:rPr>
        <w:t xml:space="preserve"> the Committee observed that “</w:t>
      </w:r>
      <w:r w:rsidRPr="00097E81">
        <w:rPr>
          <w:color w:val="000000" w:themeColor="text1"/>
          <w:lang w:val="en-GB"/>
        </w:rPr>
        <w:sym w:font="Symbol" w:char="F05B"/>
      </w:r>
      <w:r w:rsidRPr="00097E81">
        <w:rPr>
          <w:color w:val="000000" w:themeColor="text1"/>
          <w:lang w:val="en-GB"/>
        </w:rPr>
        <w:t>w</w:t>
      </w:r>
      <w:r w:rsidRPr="00097E81">
        <w:rPr>
          <w:color w:val="000000" w:themeColor="text1"/>
          <w:lang w:val="en-GB"/>
        </w:rPr>
        <w:sym w:font="Symbol" w:char="F05D"/>
      </w:r>
      <w:r w:rsidRPr="00097E81">
        <w:rPr>
          <w:color w:val="000000" w:themeColor="text1"/>
          <w:lang w:val="en-GB"/>
        </w:rPr>
        <w:t>ithout wishing to spell out all the circumstances of indirect victimisation, the Committee considers that the failure</w:t>
      </w:r>
      <w:r w:rsidRPr="00097E81">
        <w:rPr>
          <w:color w:val="auto"/>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097E81">
        <w:rPr>
          <w:color w:val="000000" w:themeColor="text1"/>
          <w:lang w:val="en-GB"/>
        </w:rPr>
        <w:t>violated” (</w:t>
      </w:r>
      <w:r w:rsidR="00C33D02" w:rsidRPr="00097E81">
        <w:rPr>
          <w:i/>
          <w:color w:val="000000" w:themeColor="text1"/>
          <w:lang w:val="en-GB"/>
        </w:rPr>
        <w:t>Amirov v. Russian Federation</w:t>
      </w:r>
      <w:r w:rsidR="00C33D02" w:rsidRPr="00097E81">
        <w:rPr>
          <w:color w:val="000000" w:themeColor="text1"/>
          <w:lang w:val="en-GB"/>
        </w:rPr>
        <w:t xml:space="preserve"> Communication No. 1447/2006, </w:t>
      </w:r>
      <w:r w:rsidR="004937AD" w:rsidRPr="00097E81">
        <w:rPr>
          <w:color w:val="000000" w:themeColor="text1"/>
          <w:lang w:val="en-GB"/>
        </w:rPr>
        <w:t>views</w:t>
      </w:r>
      <w:r w:rsidR="0031007B" w:rsidRPr="00097E81">
        <w:rPr>
          <w:color w:val="000000" w:themeColor="text1"/>
          <w:lang w:val="en-GB"/>
        </w:rPr>
        <w:t xml:space="preserve"> of 2 April 2009, </w:t>
      </w:r>
      <w:r w:rsidRPr="00097E81">
        <w:rPr>
          <w:color w:val="000000" w:themeColor="text1"/>
          <w:lang w:val="en-GB"/>
        </w:rPr>
        <w:t>§ 11.7</w:t>
      </w:r>
      <w:r w:rsidR="00C33D02" w:rsidRPr="00097E81">
        <w:rPr>
          <w:color w:val="000000" w:themeColor="text1"/>
          <w:lang w:val="en-GB"/>
        </w:rPr>
        <w:t>, CCPR/C/95/D/1447/2006</w:t>
      </w:r>
      <w:r w:rsidRPr="00097E81">
        <w:rPr>
          <w:color w:val="000000" w:themeColor="text1"/>
          <w:lang w:val="en-GB"/>
        </w:rPr>
        <w:t>).</w:t>
      </w:r>
    </w:p>
    <w:p w:rsidR="00FC789E" w:rsidRPr="00097E81" w:rsidRDefault="00FC789E" w:rsidP="00FC789E">
      <w:pPr>
        <w:pStyle w:val="Default"/>
        <w:tabs>
          <w:tab w:val="left" w:pos="360"/>
          <w:tab w:val="left" w:pos="720"/>
        </w:tabs>
        <w:jc w:val="both"/>
        <w:rPr>
          <w:color w:val="auto"/>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color w:val="auto"/>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ECtHR, </w:t>
      </w:r>
      <w:r w:rsidRPr="00097E81">
        <w:rPr>
          <w:i/>
          <w:color w:val="auto"/>
          <w:lang w:val="en-GB"/>
        </w:rPr>
        <w:t>Janowiec and Others v. Russia</w:t>
      </w:r>
      <w:r w:rsidRPr="00097E81">
        <w:rPr>
          <w:color w:val="auto"/>
          <w:lang w:val="en-GB"/>
        </w:rPr>
        <w:t>, nos. 55508/07 and</w:t>
      </w:r>
      <w:r w:rsidRPr="00097E81">
        <w:rPr>
          <w:lang w:val="en-GB"/>
        </w:rPr>
        <w:t xml:space="preserve"> 29520/09, judgment of 16 April 2012, § 152). </w:t>
      </w:r>
    </w:p>
    <w:p w:rsidR="00FC789E" w:rsidRPr="00097E81" w:rsidRDefault="00FC789E" w:rsidP="00FC789E">
      <w:pPr>
        <w:pStyle w:val="Default"/>
        <w:tabs>
          <w:tab w:val="left" w:pos="360"/>
          <w:tab w:val="left" w:pos="709"/>
        </w:tabs>
        <w:ind w:left="709" w:hanging="567"/>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In this respect, it is the position of the European Court that findings under the procedural limb of Article 2 would also be of direct relevance in considering the existence of a violation of Article 3 (see ECtHR, </w:t>
      </w:r>
      <w:r w:rsidRPr="00097E81">
        <w:rPr>
          <w:i/>
          <w:lang w:val="en-GB"/>
        </w:rPr>
        <w:t>Basayeva and Others v. Russia</w:t>
      </w:r>
      <w:r w:rsidRPr="00097E81">
        <w:rPr>
          <w:lang w:val="en-GB"/>
        </w:rPr>
        <w:t xml:space="preserve">, nos. 15441/05 and 20731/04, judgment of 28 May 2009, § 109; ECtHR, </w:t>
      </w:r>
      <w:r w:rsidRPr="00097E81">
        <w:rPr>
          <w:i/>
          <w:lang w:val="en-GB"/>
        </w:rPr>
        <w:t>Gelayevy v. Russia</w:t>
      </w:r>
      <w:r w:rsidRPr="00097E81">
        <w:rPr>
          <w:lang w:val="en-GB"/>
        </w:rPr>
        <w:t xml:space="preserve">, no. 20216/07, judgment of 15 July 2010, § 147; ECtHR, </w:t>
      </w:r>
      <w:r w:rsidRPr="00097E81">
        <w:rPr>
          <w:i/>
          <w:lang w:val="en-GB"/>
        </w:rPr>
        <w:t>Bazorkina v. Russia</w:t>
      </w:r>
      <w:r w:rsidRPr="00097E81">
        <w:rPr>
          <w:lang w:val="en-GB"/>
        </w:rPr>
        <w:t xml:space="preserve">, cited in § </w:t>
      </w:r>
      <w:fldSimple w:instr=" REF _Ref348542926 \r \h  \* MERGEFORMAT ">
        <w:r w:rsidR="00FD694B" w:rsidRPr="00097E81">
          <w:rPr>
            <w:lang w:val="en-GB"/>
          </w:rPr>
          <w:t>78</w:t>
        </w:r>
      </w:fldSimple>
      <w:r w:rsidR="00FD694B" w:rsidRPr="00097E81">
        <w:rPr>
          <w:lang w:val="en-GB"/>
        </w:rPr>
        <w:t xml:space="preserve"> </w:t>
      </w:r>
      <w:r w:rsidRPr="00097E81">
        <w:rPr>
          <w:lang w:val="en-GB"/>
        </w:rPr>
        <w:t>above, at § 140).</w:t>
      </w:r>
    </w:p>
    <w:p w:rsidR="00FC789E" w:rsidRPr="00097E81" w:rsidRDefault="00FC789E" w:rsidP="00FC789E">
      <w:pPr>
        <w:pStyle w:val="Default"/>
        <w:tabs>
          <w:tab w:val="left" w:pos="360"/>
          <w:tab w:val="left" w:pos="540"/>
          <w:tab w:val="left" w:pos="720"/>
        </w:tabs>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The Panel observes that the European Court has already found violations of Article 3 of the ECHR in relation to disappearances in which the State itself was found to be responsible for the abduction (see ECtHR, </w:t>
      </w:r>
      <w:r w:rsidRPr="00097E81">
        <w:rPr>
          <w:i/>
          <w:lang w:val="en-GB"/>
        </w:rPr>
        <w:t>Luluyev and Others v. Russia</w:t>
      </w:r>
      <w:r w:rsidRPr="00097E81">
        <w:rPr>
          <w:lang w:val="en-GB"/>
        </w:rPr>
        <w:t xml:space="preserve">, no. 69480/01, judgment of 9 November 2006, §§ 117-118; ECtHR, </w:t>
      </w:r>
      <w:r w:rsidRPr="00097E81">
        <w:rPr>
          <w:i/>
          <w:lang w:val="en-GB"/>
        </w:rPr>
        <w:t>Kukayev v. Russia</w:t>
      </w:r>
      <w:r w:rsidRPr="00097E81">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FC789E" w:rsidRPr="00097E81" w:rsidRDefault="00FC789E" w:rsidP="00FC789E">
      <w:pPr>
        <w:pStyle w:val="Default"/>
        <w:tabs>
          <w:tab w:val="left" w:pos="360"/>
          <w:tab w:val="left" w:pos="709"/>
        </w:tabs>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097E81">
        <w:rPr>
          <w:rStyle w:val="sb8d990e2"/>
          <w:color w:val="auto"/>
        </w:rPr>
        <w:t>could have in itself</w:t>
      </w:r>
      <w:r w:rsidRPr="00097E81">
        <w:rPr>
          <w:b/>
          <w:lang w:val="en-GB"/>
        </w:rPr>
        <w:t xml:space="preserve"> </w:t>
      </w:r>
      <w:r w:rsidRPr="00097E81">
        <w:rPr>
          <w:lang w:val="en-GB"/>
        </w:rPr>
        <w:t xml:space="preserve"> caused the applicant mental distress in excess of the minimum level of severity, which is necessary in order to consider treatment as falling within the scope of Article 3 (see, among others, ECtHR, </w:t>
      </w:r>
      <w:r w:rsidRPr="00097E81">
        <w:rPr>
          <w:i/>
          <w:lang w:val="en-GB"/>
        </w:rPr>
        <w:t>Tovsultanova v. Russia</w:t>
      </w:r>
      <w:r w:rsidRPr="00097E81">
        <w:rPr>
          <w:lang w:val="en-GB"/>
        </w:rPr>
        <w:t xml:space="preserve">, no. 26974/06, judgment of 17 June 2010, § 104; ECtHR, </w:t>
      </w:r>
      <w:r w:rsidRPr="00097E81">
        <w:rPr>
          <w:i/>
          <w:lang w:val="en-GB"/>
        </w:rPr>
        <w:t>Shafiyeva v. Russia</w:t>
      </w:r>
      <w:r w:rsidRPr="00097E81">
        <w:rPr>
          <w:lang w:val="en-GB"/>
        </w:rPr>
        <w:t>, no. 49379/09, judgment of 3 May 2012, § 103).</w:t>
      </w:r>
    </w:p>
    <w:p w:rsidR="00FC789E" w:rsidRPr="00097E81" w:rsidRDefault="00FC789E" w:rsidP="00FC789E">
      <w:pPr>
        <w:pStyle w:val="Default"/>
        <w:tabs>
          <w:tab w:val="left" w:pos="360"/>
          <w:tab w:val="left" w:pos="720"/>
        </w:tabs>
        <w:ind w:left="142"/>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Finally, with regard to the issue of burden of proof, the Panel refers to what it has said under Article 2 (see above, §§ </w:t>
      </w:r>
      <w:fldSimple w:instr=" REF _Ref347993393 \r \h  \* MERGEFORMAT ">
        <w:r w:rsidR="00F75BE2" w:rsidRPr="00097E81">
          <w:rPr>
            <w:lang w:val="en-GB"/>
          </w:rPr>
          <w:t>61</w:t>
        </w:r>
      </w:fldSimple>
      <w:r w:rsidR="00680733" w:rsidRPr="00097E81">
        <w:rPr>
          <w:lang w:val="en-GB"/>
        </w:rPr>
        <w:t>-</w:t>
      </w:r>
      <w:fldSimple w:instr=" REF _Ref354409930 \r \h  \* MERGEFORMAT ">
        <w:r w:rsidR="00F75BE2" w:rsidRPr="00097E81">
          <w:rPr>
            <w:lang w:val="en-GB"/>
          </w:rPr>
          <w:t>64</w:t>
        </w:r>
      </w:fldSimple>
      <w:r w:rsidR="00680733" w:rsidRPr="00097E81">
        <w:rPr>
          <w:lang w:val="en-GB"/>
        </w:rPr>
        <w:t>)</w:t>
      </w:r>
      <w:r w:rsidR="00582439" w:rsidRPr="00097E81">
        <w:rPr>
          <w:lang w:val="en-GB"/>
        </w:rPr>
        <w:t>.</w:t>
      </w:r>
    </w:p>
    <w:p w:rsidR="00FC789E" w:rsidRPr="00097E81" w:rsidRDefault="00FC789E" w:rsidP="00FC789E">
      <w:pPr>
        <w:pStyle w:val="Default"/>
        <w:tabs>
          <w:tab w:val="left" w:pos="360"/>
          <w:tab w:val="left" w:pos="720"/>
        </w:tabs>
        <w:ind w:left="709"/>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Taking note of that position, the Panel considers that in this situation it may draw strong inferences from the available established facts relevant to the complaint before it.</w:t>
      </w:r>
    </w:p>
    <w:p w:rsidR="00FC789E" w:rsidRPr="00097E81" w:rsidRDefault="00FC789E" w:rsidP="00FC789E">
      <w:pPr>
        <w:pStyle w:val="Default"/>
        <w:tabs>
          <w:tab w:val="left" w:pos="360"/>
          <w:tab w:val="left" w:pos="540"/>
          <w:tab w:val="left" w:pos="720"/>
        </w:tabs>
        <w:jc w:val="both"/>
        <w:rPr>
          <w:lang w:val="en-GB"/>
        </w:rPr>
      </w:pPr>
    </w:p>
    <w:p w:rsidR="00FC789E" w:rsidRPr="00097E81" w:rsidRDefault="00FC789E" w:rsidP="00FC789E">
      <w:pPr>
        <w:pStyle w:val="ListParagraph1"/>
        <w:numPr>
          <w:ilvl w:val="0"/>
          <w:numId w:val="24"/>
        </w:numPr>
        <w:ind w:left="360"/>
        <w:jc w:val="both"/>
        <w:rPr>
          <w:i/>
          <w:color w:val="000000"/>
          <w:lang w:eastAsia="en-US"/>
        </w:rPr>
      </w:pPr>
      <w:r w:rsidRPr="00097E81">
        <w:rPr>
          <w:i/>
          <w:color w:val="000000"/>
          <w:lang w:eastAsia="en-US"/>
        </w:rPr>
        <w:t>Applicability of Article 3 to the Kosovo context</w:t>
      </w:r>
    </w:p>
    <w:p w:rsidR="00FC789E" w:rsidRPr="00097E81" w:rsidRDefault="00FC789E" w:rsidP="00FC789E">
      <w:pPr>
        <w:pStyle w:val="Default"/>
        <w:tabs>
          <w:tab w:val="left" w:pos="360"/>
          <w:tab w:val="left" w:pos="540"/>
          <w:tab w:val="left" w:pos="720"/>
        </w:tabs>
        <w:ind w:hanging="360"/>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With regard to the applicability of the above standards to the Kosovo context, the Panel first refers to its view on the same issue with regard to Article 2, developed above (see §§ </w:t>
      </w:r>
      <w:fldSimple w:instr=" REF _Ref350958715 \r \h  \* MERGEFORMAT ">
        <w:r w:rsidR="00F75BE2" w:rsidRPr="00097E81">
          <w:rPr>
            <w:lang w:val="en-GB"/>
          </w:rPr>
          <w:t>73</w:t>
        </w:r>
      </w:fldSimple>
      <w:r w:rsidR="00D62189" w:rsidRPr="00097E81">
        <w:rPr>
          <w:lang w:val="en-GB"/>
        </w:rPr>
        <w:t>-</w:t>
      </w:r>
      <w:fldSimple w:instr=" REF _Ref350958718 \r \h  \* MERGEFORMAT ">
        <w:r w:rsidR="00F75BE2" w:rsidRPr="00097E81">
          <w:rPr>
            <w:lang w:val="en-GB"/>
          </w:rPr>
          <w:t>81</w:t>
        </w:r>
      </w:fldSimple>
      <w:r w:rsidRPr="00097E81">
        <w:rPr>
          <w:lang w:val="en-GB"/>
        </w:rPr>
        <w:t>).</w:t>
      </w:r>
    </w:p>
    <w:p w:rsidR="00FC789E" w:rsidRPr="00097E81" w:rsidRDefault="00FC789E" w:rsidP="00FC789E">
      <w:pPr>
        <w:pStyle w:val="Default"/>
        <w:tabs>
          <w:tab w:val="left" w:pos="360"/>
          <w:tab w:val="left" w:pos="709"/>
        </w:tabs>
        <w:ind w:left="142"/>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fldSimple w:instr=" REF _Ref346123767 \r \h  \* MERGEFORMAT ">
        <w:r w:rsidR="00F75BE2" w:rsidRPr="00097E81">
          <w:rPr>
            <w:lang w:val="en-GB"/>
          </w:rPr>
          <w:t>17</w:t>
        </w:r>
      </w:fldSimple>
      <w:r w:rsidR="00C71512" w:rsidRPr="00097E81">
        <w:rPr>
          <w:lang w:val="en-GB"/>
        </w:rPr>
        <w:t xml:space="preserve"> </w:t>
      </w:r>
      <w:r w:rsidRPr="00097E81">
        <w:rPr>
          <w:lang w:val="en-GB"/>
        </w:rPr>
        <w:t>above).</w:t>
      </w:r>
    </w:p>
    <w:p w:rsidR="00FC789E" w:rsidRPr="00097E81" w:rsidRDefault="00FC789E" w:rsidP="00FC789E">
      <w:pPr>
        <w:pStyle w:val="Default"/>
        <w:tabs>
          <w:tab w:val="left" w:pos="360"/>
          <w:tab w:val="left" w:pos="709"/>
        </w:tabs>
        <w:ind w:left="142"/>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The Panel again notes that it will not review relevant practices or alleged obstacles to the conduct of effective investigations </w:t>
      </w:r>
      <w:r w:rsidRPr="00097E81">
        <w:rPr>
          <w:i/>
          <w:lang w:val="en-GB"/>
        </w:rPr>
        <w:t>in abstracto</w:t>
      </w:r>
      <w:r w:rsidRPr="00097E81">
        <w:rPr>
          <w:lang w:val="en-GB"/>
        </w:rPr>
        <w:t>, but only in relation to their specific application to the complaint before it, considering the particular circumstances of the case.</w:t>
      </w:r>
    </w:p>
    <w:p w:rsidR="00FC789E" w:rsidRPr="00097E81" w:rsidRDefault="00FC789E" w:rsidP="00FC789E">
      <w:pPr>
        <w:pStyle w:val="Default"/>
        <w:tabs>
          <w:tab w:val="left" w:pos="360"/>
          <w:tab w:val="left" w:pos="709"/>
        </w:tabs>
        <w:ind w:left="142"/>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FC789E" w:rsidRPr="00097E81" w:rsidRDefault="00FC789E" w:rsidP="00FC789E">
      <w:pPr>
        <w:pStyle w:val="Default"/>
        <w:tabs>
          <w:tab w:val="left" w:pos="360"/>
          <w:tab w:val="left" w:pos="540"/>
          <w:tab w:val="left" w:pos="720"/>
        </w:tabs>
        <w:jc w:val="both"/>
        <w:rPr>
          <w:lang w:val="en-GB"/>
        </w:rPr>
      </w:pPr>
    </w:p>
    <w:p w:rsidR="00FC789E" w:rsidRPr="00097E81" w:rsidRDefault="00FC789E" w:rsidP="00FC789E">
      <w:pPr>
        <w:pStyle w:val="ListParagraph1"/>
        <w:numPr>
          <w:ilvl w:val="0"/>
          <w:numId w:val="24"/>
        </w:numPr>
        <w:ind w:left="360"/>
        <w:jc w:val="both"/>
        <w:rPr>
          <w:i/>
          <w:color w:val="000000"/>
          <w:lang w:eastAsia="en-US"/>
        </w:rPr>
      </w:pPr>
      <w:r w:rsidRPr="00097E81">
        <w:rPr>
          <w:i/>
          <w:color w:val="000000"/>
          <w:lang w:eastAsia="en-US"/>
        </w:rPr>
        <w:t>Compliance with Article 3 in the present case</w:t>
      </w:r>
    </w:p>
    <w:p w:rsidR="00FC789E" w:rsidRPr="00097E81" w:rsidRDefault="00FC789E" w:rsidP="00FC789E">
      <w:pPr>
        <w:pStyle w:val="Default"/>
        <w:tabs>
          <w:tab w:val="left" w:pos="360"/>
          <w:tab w:val="left" w:pos="540"/>
          <w:tab w:val="left" w:pos="720"/>
        </w:tabs>
        <w:ind w:hanging="360"/>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Against this background, the Panel discerns a number of factors in the present case which, taken together, raise the question of violation of Article 3 of the ECHR.</w:t>
      </w:r>
    </w:p>
    <w:p w:rsidR="00FC789E" w:rsidRPr="00097E81" w:rsidRDefault="00FC789E" w:rsidP="00FC789E">
      <w:pPr>
        <w:pStyle w:val="Default"/>
        <w:tabs>
          <w:tab w:val="left" w:pos="360"/>
          <w:tab w:val="left" w:pos="709"/>
        </w:tabs>
        <w:ind w:left="142"/>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The Panel notes the proximity of the family ties between the complainant and Dušan Jočić, as the complainant is his mother. Accordingly, the Panel has no doubt that she indeed suffered serious emotional distress since his disappearance, which took place in June 1999. She immediately communicated the disappearance</w:t>
      </w:r>
      <w:r w:rsidRPr="00097E81" w:rsidDel="00D90BD1">
        <w:rPr>
          <w:lang w:val="en-GB"/>
        </w:rPr>
        <w:t xml:space="preserve"> </w:t>
      </w:r>
      <w:r w:rsidRPr="00097E81">
        <w:rPr>
          <w:lang w:val="en-GB"/>
        </w:rPr>
        <w:t xml:space="preserve">to the authorities and gave them all the information available to her (see §§ </w:t>
      </w:r>
      <w:fldSimple w:instr=" REF _Ref348365376 \r \h  \* MERGEFORMAT ">
        <w:r w:rsidR="00F75BE2" w:rsidRPr="00097E81">
          <w:rPr>
            <w:lang w:val="en-GB"/>
          </w:rPr>
          <w:t>22</w:t>
        </w:r>
      </w:fldSimple>
      <w:r w:rsidR="00C71512" w:rsidRPr="00097E81">
        <w:rPr>
          <w:lang w:val="en-GB"/>
        </w:rPr>
        <w:t xml:space="preserve"> and </w:t>
      </w:r>
      <w:fldSimple w:instr=" REF _Ref347221447 \r \h  \* MERGEFORMAT ">
        <w:r w:rsidR="00F75BE2" w:rsidRPr="00097E81">
          <w:rPr>
            <w:lang w:val="en-GB"/>
          </w:rPr>
          <w:t>23</w:t>
        </w:r>
      </w:fldSimple>
      <w:r w:rsidRPr="00097E81">
        <w:rPr>
          <w:lang w:val="en-GB"/>
        </w:rPr>
        <w:t xml:space="preserve"> above). </w:t>
      </w:r>
    </w:p>
    <w:p w:rsidR="00FC789E" w:rsidRPr="00097E81" w:rsidRDefault="00FC789E" w:rsidP="00FC789E">
      <w:pPr>
        <w:pStyle w:val="Default"/>
        <w:tabs>
          <w:tab w:val="left" w:pos="360"/>
          <w:tab w:val="left" w:pos="709"/>
        </w:tabs>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The Panel also notes that the complainant and her husband had undertaken their own actions to search for their son. They applied to various bodies with enquiries but despite their attempts, they have never received any explanation or information as to what became of their son following his disappearance, until the time the complainant was contacted with regard to the handover of his mortal remains</w:t>
      </w:r>
      <w:r w:rsidR="00035642" w:rsidRPr="00097E81">
        <w:rPr>
          <w:lang w:val="en-GB"/>
        </w:rPr>
        <w:t>.</w:t>
      </w:r>
    </w:p>
    <w:p w:rsidR="00035642" w:rsidRPr="00097E81" w:rsidRDefault="00035642" w:rsidP="00035642">
      <w:pPr>
        <w:pStyle w:val="ListParagrap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The Panel further takes note of the unexplained delay of around eight years between the location of Dušan Jočić’s mortal remains and the time when the complainant was informed of the</w:t>
      </w:r>
      <w:r w:rsidRPr="00097E81">
        <w:rPr>
          <w:color w:val="auto"/>
          <w:lang w:val="en-GB"/>
        </w:rPr>
        <w:t>ir</w:t>
      </w:r>
      <w:r w:rsidRPr="00097E81">
        <w:rPr>
          <w:lang w:val="en-GB"/>
        </w:rPr>
        <w:t xml:space="preserve"> positive identification. The Panel notes that the ante-mortem data present in the investigative file was collected by the Serbian police (see § </w:t>
      </w:r>
      <w:fldSimple w:instr=" REF _Ref354418629 \r \h  \* MERGEFORMAT ">
        <w:r w:rsidR="00F75BE2" w:rsidRPr="00097E81">
          <w:rPr>
            <w:lang w:val="en-GB"/>
          </w:rPr>
          <w:t>29</w:t>
        </w:r>
      </w:fldSimple>
      <w:r w:rsidR="00C71512" w:rsidRPr="00097E81">
        <w:rPr>
          <w:lang w:val="en-GB"/>
        </w:rPr>
        <w:t xml:space="preserve"> </w:t>
      </w:r>
      <w:r w:rsidRPr="00097E81">
        <w:rPr>
          <w:lang w:val="en-GB"/>
        </w:rPr>
        <w:t>above); however, the file does not indicate when and by and from whom the DNA samples which enabled the identification were collected.</w:t>
      </w:r>
    </w:p>
    <w:p w:rsidR="00FC789E" w:rsidRPr="00097E81" w:rsidRDefault="00FC789E" w:rsidP="00FC789E">
      <w:pPr>
        <w:pStyle w:val="Default"/>
        <w:tabs>
          <w:tab w:val="left" w:pos="360"/>
          <w:tab w:val="left" w:pos="709"/>
        </w:tabs>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The Panel notes that the complainant has never been contacted by either the UNMIK Police or prosecutors, that her statement was never recorded and that she was never informed of the progress of the investigation. The Panel reiterates that from the standpoint of Article 3 it may examine UNMIK’s reactions and attitudes to the complainant in its entirety. As was shown with respect to Article 2, the file as presented provides no details of any communication between UNMIK investigative authorities and the complainant from the time of the filing of the initial report of the disappearance (see §§ </w:t>
      </w:r>
      <w:fldSimple w:instr=" REF _Ref354420199 \r \h  \* MERGEFORMAT ">
        <w:r w:rsidR="00F75BE2" w:rsidRPr="00097E81">
          <w:rPr>
            <w:lang w:val="en-GB"/>
          </w:rPr>
          <w:t>83</w:t>
        </w:r>
      </w:fldSimple>
      <w:r w:rsidRPr="00097E81">
        <w:rPr>
          <w:lang w:val="en-GB"/>
        </w:rPr>
        <w:t xml:space="preserve">, </w:t>
      </w:r>
      <w:fldSimple w:instr=" REF _Ref354420246 \r \h  \* MERGEFORMAT ">
        <w:r w:rsidR="00F75BE2" w:rsidRPr="00097E81">
          <w:rPr>
            <w:lang w:val="en-GB"/>
          </w:rPr>
          <w:t>85</w:t>
        </w:r>
      </w:fldSimple>
      <w:r w:rsidRPr="00097E81">
        <w:rPr>
          <w:lang w:val="en-GB"/>
        </w:rPr>
        <w:t xml:space="preserve">, </w:t>
      </w:r>
      <w:fldSimple w:instr=" REF _Ref354420251 \r \h  \* MERGEFORMAT ">
        <w:r w:rsidR="00F75BE2" w:rsidRPr="00097E81">
          <w:rPr>
            <w:lang w:val="en-GB"/>
          </w:rPr>
          <w:t>87</w:t>
        </w:r>
      </w:fldSimple>
      <w:r w:rsidR="004D2F65" w:rsidRPr="00097E81">
        <w:rPr>
          <w:lang w:val="en-GB"/>
        </w:rPr>
        <w:t xml:space="preserve"> and</w:t>
      </w:r>
      <w:r w:rsidRPr="00097E81">
        <w:rPr>
          <w:lang w:val="en-GB"/>
        </w:rPr>
        <w:t xml:space="preserve"> </w:t>
      </w:r>
      <w:fldSimple w:instr=" REF _Ref354420261 \r \h  \* MERGEFORMAT ">
        <w:r w:rsidR="00F75BE2" w:rsidRPr="00097E81">
          <w:rPr>
            <w:lang w:val="en-GB"/>
          </w:rPr>
          <w:t>89</w:t>
        </w:r>
      </w:fldSimple>
      <w:r w:rsidR="004D2F65" w:rsidRPr="00097E81">
        <w:rPr>
          <w:lang w:val="en-GB"/>
        </w:rPr>
        <w:t xml:space="preserve"> </w:t>
      </w:r>
      <w:r w:rsidRPr="00097E81">
        <w:rPr>
          <w:lang w:val="en-GB"/>
        </w:rPr>
        <w:t>above).</w:t>
      </w:r>
    </w:p>
    <w:p w:rsidR="00FC789E" w:rsidRPr="00097E81" w:rsidRDefault="00FC789E" w:rsidP="00FC789E">
      <w:pPr>
        <w:pStyle w:val="Default"/>
        <w:tabs>
          <w:tab w:val="left" w:pos="360"/>
          <w:tab w:val="left" w:pos="709"/>
        </w:tabs>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Drawing inferences from UNMIK’s failure to submit the investigative documents (§ </w:t>
      </w:r>
      <w:fldSimple w:instr=" REF _Ref354590473 \r \h  \* MERGEFORMAT ">
        <w:r w:rsidR="00306D7D" w:rsidRPr="00097E81">
          <w:rPr>
            <w:lang w:val="en-GB"/>
          </w:rPr>
          <w:t>57</w:t>
        </w:r>
      </w:fldSimple>
      <w:r w:rsidR="00306D7D" w:rsidRPr="00097E81">
        <w:rPr>
          <w:lang w:val="en-GB"/>
        </w:rPr>
        <w:t xml:space="preserve"> </w:t>
      </w:r>
      <w:r w:rsidRPr="00097E81">
        <w:rPr>
          <w:lang w:val="en-GB"/>
        </w:rPr>
        <w:t>above) or to provide another plausible explanation for the complete absence of contact with the complainant, or  information about the criminal investigation into the disappearance and killing of Dušan Jočić, the Panel considers that this situation, which continued into the period of the P</w:t>
      </w:r>
      <w:r w:rsidR="009F597B" w:rsidRPr="00097E81">
        <w:rPr>
          <w:lang w:val="en-GB"/>
        </w:rPr>
        <w:t>anel’s temporal jurisdiction,</w:t>
      </w:r>
      <w:r w:rsidRPr="00097E81">
        <w:rPr>
          <w:lang w:val="en-GB"/>
        </w:rPr>
        <w:t xml:space="preserve"> caused grave uncertainty about the fate of the complainant’s son and the status of the investigation. </w:t>
      </w:r>
    </w:p>
    <w:p w:rsidR="00FC789E" w:rsidRPr="00097E81" w:rsidRDefault="00FC789E" w:rsidP="00FC789E">
      <w:pPr>
        <w:pStyle w:val="Default"/>
        <w:tabs>
          <w:tab w:val="left" w:pos="360"/>
          <w:tab w:val="left" w:pos="709"/>
        </w:tabs>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color w:val="auto"/>
          <w:lang w:val="en-GB"/>
        </w:rPr>
      </w:pPr>
      <w:r w:rsidRPr="00097E81">
        <w:rPr>
          <w:lang w:val="en-GB"/>
        </w:rPr>
        <w:t xml:space="preserve">In view of the above, the Panel concludes that the complainant suffered severe distress and </w:t>
      </w:r>
      <w:r w:rsidR="009F597B" w:rsidRPr="00097E81">
        <w:rPr>
          <w:lang w:val="en-GB"/>
        </w:rPr>
        <w:t xml:space="preserve"> </w:t>
      </w:r>
      <w:r w:rsidRPr="00097E81">
        <w:rPr>
          <w:lang w:val="en-GB"/>
        </w:rPr>
        <w:t xml:space="preserve"> for a prolonged and continuing period of time on account of the way the authorities of UNMIK have dealt with her complaint and as a result of her inability to find out what happened to her son</w:t>
      </w:r>
      <w:r w:rsidRPr="00097E81">
        <w:rPr>
          <w:color w:val="auto"/>
          <w:lang w:val="en-GB"/>
        </w:rPr>
        <w:t>. In this respect, it is obvious that, in any situation, the pain of a mother who has to live in uncertainty about the fate of her disappeared son must be unbearable.</w:t>
      </w:r>
    </w:p>
    <w:p w:rsidR="00FC789E" w:rsidRPr="00097E81" w:rsidRDefault="00FC789E" w:rsidP="00FC789E">
      <w:pPr>
        <w:pStyle w:val="Default"/>
        <w:tabs>
          <w:tab w:val="left" w:pos="360"/>
          <w:tab w:val="left" w:pos="709"/>
        </w:tabs>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For the aforementioned reasons, the Panel </w:t>
      </w:r>
      <w:r w:rsidRPr="00097E81">
        <w:rPr>
          <w:color w:val="000000" w:themeColor="text1"/>
          <w:lang w:val="en-GB"/>
        </w:rPr>
        <w:t>concludes that</w:t>
      </w:r>
      <w:r w:rsidR="00726DFF" w:rsidRPr="00097E81">
        <w:rPr>
          <w:color w:val="000000" w:themeColor="text1"/>
          <w:lang w:val="en-GB"/>
        </w:rPr>
        <w:t>,</w:t>
      </w:r>
      <w:r w:rsidRPr="00097E81">
        <w:rPr>
          <w:color w:val="000000" w:themeColor="text1"/>
          <w:lang w:val="en-GB"/>
        </w:rPr>
        <w:t xml:space="preserve"> </w:t>
      </w:r>
      <w:r w:rsidR="00726DFF" w:rsidRPr="00097E81">
        <w:rPr>
          <w:color w:val="000000" w:themeColor="text1"/>
          <w:lang w:val="en-GB"/>
        </w:rPr>
        <w:t xml:space="preserve">by its behaviour, </w:t>
      </w:r>
      <w:r w:rsidRPr="00097E81">
        <w:rPr>
          <w:color w:val="000000" w:themeColor="text1"/>
          <w:lang w:val="en-GB"/>
        </w:rPr>
        <w:t xml:space="preserve">UNMIK </w:t>
      </w:r>
      <w:r w:rsidR="00DE4770" w:rsidRPr="00097E81">
        <w:rPr>
          <w:color w:val="000000" w:themeColor="text1"/>
          <w:lang w:val="en-GB"/>
        </w:rPr>
        <w:t xml:space="preserve">contributed to </w:t>
      </w:r>
      <w:r w:rsidRPr="00097E81">
        <w:rPr>
          <w:color w:val="000000" w:themeColor="text1"/>
          <w:lang w:val="en-GB"/>
        </w:rPr>
        <w:t>the complainant</w:t>
      </w:r>
      <w:r w:rsidR="0065501D" w:rsidRPr="00097E81">
        <w:rPr>
          <w:color w:val="000000" w:themeColor="text1"/>
          <w:lang w:val="en-GB"/>
        </w:rPr>
        <w:t>’s</w:t>
      </w:r>
      <w:r w:rsidRPr="00097E81">
        <w:rPr>
          <w:color w:val="000000" w:themeColor="text1"/>
          <w:lang w:val="en-GB"/>
        </w:rPr>
        <w:t xml:space="preserve"> </w:t>
      </w:r>
      <w:r w:rsidR="00726DFF" w:rsidRPr="00097E81">
        <w:rPr>
          <w:color w:val="000000" w:themeColor="text1"/>
          <w:lang w:val="en-GB"/>
        </w:rPr>
        <w:t xml:space="preserve">distress and </w:t>
      </w:r>
      <w:r w:rsidRPr="00097E81">
        <w:rPr>
          <w:color w:val="000000" w:themeColor="text1"/>
          <w:lang w:val="en-GB"/>
        </w:rPr>
        <w:t>mental suffering in</w:t>
      </w:r>
      <w:r w:rsidRPr="00097E81">
        <w:rPr>
          <w:lang w:val="en-GB"/>
        </w:rPr>
        <w:t xml:space="preserve"> violation of Article 3 of the ECHR.</w:t>
      </w:r>
    </w:p>
    <w:p w:rsidR="00FC789E" w:rsidRPr="00097E81" w:rsidRDefault="00FC789E" w:rsidP="00FC789E">
      <w:pPr>
        <w:suppressAutoHyphens/>
        <w:autoSpaceDE w:val="0"/>
        <w:jc w:val="both"/>
      </w:pPr>
    </w:p>
    <w:p w:rsidR="00FC789E" w:rsidRPr="00097E81" w:rsidRDefault="00FC789E" w:rsidP="00FC789E">
      <w:pPr>
        <w:suppressAutoHyphens/>
        <w:autoSpaceDE w:val="0"/>
        <w:jc w:val="both"/>
      </w:pPr>
    </w:p>
    <w:p w:rsidR="00FC789E" w:rsidRPr="00097E81" w:rsidRDefault="00FC789E" w:rsidP="00FC789E">
      <w:pPr>
        <w:numPr>
          <w:ilvl w:val="0"/>
          <w:numId w:val="2"/>
        </w:numPr>
        <w:suppressAutoHyphens/>
        <w:autoSpaceDE w:val="0"/>
        <w:ind w:left="360" w:hanging="360"/>
        <w:jc w:val="both"/>
        <w:rPr>
          <w:b/>
          <w:bCs/>
        </w:rPr>
      </w:pPr>
      <w:r w:rsidRPr="00097E81">
        <w:rPr>
          <w:b/>
          <w:bCs/>
          <w:lang w:val="en-GB"/>
        </w:rPr>
        <w:t>RECOMMENDATIONS</w:t>
      </w:r>
    </w:p>
    <w:p w:rsidR="00FC789E" w:rsidRPr="00097E81" w:rsidRDefault="00FC789E" w:rsidP="00FC789E">
      <w:pPr>
        <w:pStyle w:val="ListParagraph1"/>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In light </w:t>
      </w:r>
      <w:r w:rsidRPr="00097E81">
        <w:rPr>
          <w:color w:val="auto"/>
          <w:lang w:val="en-GB"/>
        </w:rPr>
        <w:t>of</w:t>
      </w:r>
      <w:r w:rsidRPr="00097E81">
        <w:rPr>
          <w:lang w:val="en-GB"/>
        </w:rPr>
        <w:t xml:space="preserve"> the Panel’s findings in this case, the Panel is of the opinion that some form of reparation is necessary.</w:t>
      </w:r>
    </w:p>
    <w:p w:rsidR="00FC789E" w:rsidRPr="00097E81" w:rsidRDefault="00FC789E" w:rsidP="00FC789E">
      <w:pPr>
        <w:pStyle w:val="Default"/>
        <w:tabs>
          <w:tab w:val="left" w:pos="360"/>
        </w:tabs>
        <w:ind w:left="142"/>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the disappearance and killing of Dušan Jočić, and that its failure to do so constitutes a further serious violation of the rights of the victims and his next-of-kin, in particular the right to have the truth of the matter determined.</w:t>
      </w:r>
    </w:p>
    <w:p w:rsidR="00FC789E" w:rsidRPr="00097E81" w:rsidRDefault="00FC789E" w:rsidP="00FC789E">
      <w:pPr>
        <w:pStyle w:val="Default"/>
        <w:tabs>
          <w:tab w:val="left" w:pos="360"/>
        </w:tabs>
        <w:ind w:left="142"/>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bCs/>
          <w:lang w:val="en-GB"/>
        </w:rPr>
        <w:t xml:space="preserve">The </w:t>
      </w:r>
      <w:r w:rsidRPr="00097E81">
        <w:rPr>
          <w:lang w:val="en-GB"/>
        </w:rPr>
        <w:t>Panel</w:t>
      </w:r>
      <w:r w:rsidRPr="00097E81">
        <w:rPr>
          <w:bCs/>
          <w:lang w:val="en-GB"/>
        </w:rPr>
        <w:t xml:space="preserve"> notes the SRSG’s own concerns that the inadequate resources, especially at the outset of UNMIK’s mission, made compliance with UNMIK’s human rights obligations difficult to achieve.</w:t>
      </w:r>
    </w:p>
    <w:p w:rsidR="00EE1A3C" w:rsidRPr="00097E81" w:rsidRDefault="00EE1A3C" w:rsidP="00EE1A3C">
      <w:pPr>
        <w:pStyle w:val="ListParagrap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 xml:space="preserve">It </w:t>
      </w:r>
      <w:r w:rsidRPr="00097E81">
        <w:rPr>
          <w:bCs/>
          <w:lang w:val="en-GB"/>
        </w:rPr>
        <w:t>would</w:t>
      </w:r>
      <w:r w:rsidRPr="00097E81">
        <w:rPr>
          <w:lang w:val="en-GB"/>
        </w:rPr>
        <w:t xml:space="preserve"> normally be for UNMIK to take the appropriate measures in order to put an end to the violation noted and to redress as far as possible the effects thereof. However, as the Panel noted above (see § </w:t>
      </w:r>
      <w:fldSimple w:instr=" REF _Ref346123927 \r \h  \* MERGEFORMAT ">
        <w:r w:rsidR="00F75BE2" w:rsidRPr="00097E81">
          <w:rPr>
            <w:lang w:val="en-GB"/>
          </w:rPr>
          <w:t>19</w:t>
        </w:r>
      </w:fldSimple>
      <w:r w:rsidRPr="00097E81">
        <w:rPr>
          <w:lang w:val="en-GB"/>
        </w:rPr>
        <w:t>)</w:t>
      </w:r>
      <w:r w:rsidR="00726DFF" w:rsidRPr="00097E81">
        <w:rPr>
          <w:lang w:val="en-GB"/>
        </w:rPr>
        <w:t>,</w:t>
      </w:r>
      <w:r w:rsidRPr="00097E81">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FC789E" w:rsidRPr="00097E81" w:rsidRDefault="00FC789E" w:rsidP="00FC789E">
      <w:pPr>
        <w:pStyle w:val="Default"/>
        <w:tabs>
          <w:tab w:val="left" w:pos="360"/>
        </w:tabs>
        <w:ind w:left="142"/>
        <w:jc w:val="both"/>
        <w:rPr>
          <w:lang w:val="en-GB"/>
        </w:rPr>
      </w:pPr>
    </w:p>
    <w:p w:rsidR="00FC789E" w:rsidRPr="00097E81" w:rsidRDefault="00FC789E" w:rsidP="00FC789E">
      <w:pPr>
        <w:pStyle w:val="Default"/>
        <w:numPr>
          <w:ilvl w:val="0"/>
          <w:numId w:val="5"/>
        </w:numPr>
        <w:tabs>
          <w:tab w:val="clear" w:pos="360"/>
          <w:tab w:val="num" w:pos="450"/>
        </w:tabs>
        <w:ind w:left="450" w:hanging="450"/>
        <w:jc w:val="both"/>
        <w:rPr>
          <w:lang w:val="en-GB"/>
        </w:rPr>
      </w:pPr>
      <w:r w:rsidRPr="00097E81">
        <w:rPr>
          <w:lang w:val="en-GB"/>
        </w:rPr>
        <w:t>The Panel considers that this factual situation does not relieve UNMIK from its obligation to redress as far as possible the effects of the violations for which it is responsible.</w:t>
      </w:r>
    </w:p>
    <w:p w:rsidR="00FC789E" w:rsidRPr="00097E81" w:rsidRDefault="00FC789E" w:rsidP="00FC789E">
      <w:pPr>
        <w:pStyle w:val="Default"/>
        <w:tabs>
          <w:tab w:val="left" w:pos="360"/>
        </w:tabs>
        <w:ind w:left="142"/>
        <w:jc w:val="both"/>
        <w:rPr>
          <w:lang w:val="en-GB"/>
        </w:rPr>
      </w:pPr>
    </w:p>
    <w:p w:rsidR="00FC789E" w:rsidRPr="00097E81" w:rsidRDefault="00FC789E" w:rsidP="004F6CCA">
      <w:pPr>
        <w:pStyle w:val="Default"/>
        <w:ind w:left="426"/>
        <w:jc w:val="both"/>
        <w:rPr>
          <w:lang w:val="en-GB"/>
        </w:rPr>
      </w:pPr>
      <w:r w:rsidRPr="00097E81">
        <w:rPr>
          <w:b/>
          <w:bCs/>
          <w:lang w:val="en-GB"/>
        </w:rPr>
        <w:t xml:space="preserve">With respect to the </w:t>
      </w:r>
      <w:r w:rsidRPr="00097E81">
        <w:rPr>
          <w:b/>
          <w:lang w:val="en-GB"/>
        </w:rPr>
        <w:t>complainant</w:t>
      </w:r>
      <w:r w:rsidRPr="00097E81">
        <w:rPr>
          <w:b/>
          <w:bCs/>
          <w:lang w:val="en-GB"/>
        </w:rPr>
        <w:t xml:space="preserve"> and the case the Panel considers it appropriate that UNMIK:</w:t>
      </w:r>
    </w:p>
    <w:p w:rsidR="00FC789E" w:rsidRPr="00097E81" w:rsidRDefault="00FC789E" w:rsidP="00FC789E">
      <w:pPr>
        <w:pStyle w:val="ListParagraph1"/>
        <w:rPr>
          <w:b/>
          <w:bCs/>
        </w:rPr>
      </w:pPr>
    </w:p>
    <w:p w:rsidR="00FC789E" w:rsidRPr="00097E81" w:rsidRDefault="00FC789E" w:rsidP="004F6CCA">
      <w:pPr>
        <w:numPr>
          <w:ilvl w:val="5"/>
          <w:numId w:val="22"/>
        </w:numPr>
        <w:tabs>
          <w:tab w:val="left" w:pos="709"/>
        </w:tabs>
        <w:suppressAutoHyphens/>
        <w:autoSpaceDE w:val="0"/>
        <w:ind w:left="709" w:hanging="283"/>
        <w:jc w:val="both"/>
        <w:rPr>
          <w:b/>
          <w:bCs/>
        </w:rPr>
      </w:pPr>
      <w:r w:rsidRPr="00097E81">
        <w:t xml:space="preserve">In line with the case law of the European Court of Human Rights on situations of limited State jurisdiction (see ECtHR (Grand Chamber), </w:t>
      </w:r>
      <w:r w:rsidRPr="00097E81">
        <w:rPr>
          <w:i/>
        </w:rPr>
        <w:t>Ilaşcu and Others v. Moldova and Russia</w:t>
      </w:r>
      <w:r w:rsidRPr="00097E81">
        <w:t xml:space="preserve">, no. 48787/99, judgment of 8 July 2004, </w:t>
      </w:r>
      <w:r w:rsidRPr="00097E81">
        <w:rPr>
          <w:i/>
        </w:rPr>
        <w:t>ECHR</w:t>
      </w:r>
      <w:r w:rsidRPr="00097E81">
        <w:t xml:space="preserve">, 2004-VII, § 333; ECtHR, </w:t>
      </w:r>
      <w:r w:rsidRPr="00097E81">
        <w:rPr>
          <w:i/>
        </w:rPr>
        <w:t>Al-Saadoon and Mufdhi v. United Kingdom</w:t>
      </w:r>
      <w:r w:rsidRPr="00097E81">
        <w:t xml:space="preserve">, no. 61498/08, judgment of 2 March 2010, § 171; ECtHR (Grand Chamber), </w:t>
      </w:r>
      <w:r w:rsidRPr="00097E81">
        <w:rPr>
          <w:i/>
        </w:rPr>
        <w:t>Catan and Others v. Moldova and Russia</w:t>
      </w:r>
      <w:r w:rsidRPr="00097E81">
        <w:t xml:space="preserve">, nos. 43370/04, 8252/05 and 18454/06, judgment of 19 October 2012, § 109), must endeavour, with all the diplomatic means available to it </w:t>
      </w:r>
      <w:r w:rsidRPr="00097E81">
        <w:rPr>
          <w:i/>
        </w:rPr>
        <w:t>vis-à-vis</w:t>
      </w:r>
      <w:r w:rsidRPr="00097E81">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DE4770" w:rsidRPr="00097E81">
        <w:t>disappearance and killing</w:t>
      </w:r>
      <w:r w:rsidRPr="00097E81">
        <w:t xml:space="preserve"> of Dušan Jočić will be established and that perpetrators will be brought to justice. The complainant and/or other next-of-kin shall be informed of such proceedings and relevant documents shall be disclosed to them, as necessary;</w:t>
      </w:r>
    </w:p>
    <w:p w:rsidR="00FC789E" w:rsidRPr="00097E81" w:rsidRDefault="00FC789E" w:rsidP="00FC789E">
      <w:pPr>
        <w:suppressAutoHyphens/>
        <w:autoSpaceDE w:val="0"/>
        <w:jc w:val="both"/>
        <w:rPr>
          <w:b/>
          <w:bCs/>
        </w:rPr>
      </w:pPr>
    </w:p>
    <w:p w:rsidR="00FC789E" w:rsidRPr="00097E81" w:rsidRDefault="00FC789E" w:rsidP="004F6CCA">
      <w:pPr>
        <w:numPr>
          <w:ilvl w:val="5"/>
          <w:numId w:val="22"/>
        </w:numPr>
        <w:tabs>
          <w:tab w:val="left" w:pos="709"/>
        </w:tabs>
        <w:suppressAutoHyphens/>
        <w:autoSpaceDE w:val="0"/>
        <w:ind w:left="709" w:hanging="283"/>
        <w:jc w:val="both"/>
        <w:rPr>
          <w:bCs/>
        </w:rPr>
      </w:pPr>
      <w:r w:rsidRPr="00097E81">
        <w:rPr>
          <w:bCs/>
        </w:rPr>
        <w:t xml:space="preserve">Publicly </w:t>
      </w:r>
      <w:r w:rsidRPr="00097E81">
        <w:rPr>
          <w:color w:val="000000" w:themeColor="text1"/>
        </w:rPr>
        <w:t>acknowledges</w:t>
      </w:r>
      <w:r w:rsidRPr="00097E81">
        <w:rPr>
          <w:bCs/>
          <w:color w:val="000000" w:themeColor="text1"/>
        </w:rPr>
        <w:t xml:space="preserve">, </w:t>
      </w:r>
      <w:r w:rsidRPr="00097E81">
        <w:rPr>
          <w:color w:val="000000" w:themeColor="text1"/>
        </w:rPr>
        <w:t>within</w:t>
      </w:r>
      <w:r w:rsidRPr="00097E81">
        <w:rPr>
          <w:bCs/>
          <w:color w:val="000000" w:themeColor="text1"/>
        </w:rPr>
        <w:t xml:space="preserve"> a reasonable time, responsibility with respect to UNMIK’s failure to adequately </w:t>
      </w:r>
      <w:r w:rsidRPr="00097E81">
        <w:rPr>
          <w:color w:val="000000" w:themeColor="text1"/>
        </w:rPr>
        <w:t>investigate</w:t>
      </w:r>
      <w:r w:rsidRPr="00097E81">
        <w:rPr>
          <w:bCs/>
          <w:color w:val="000000" w:themeColor="text1"/>
        </w:rPr>
        <w:t xml:space="preserve"> the </w:t>
      </w:r>
      <w:r w:rsidR="00DE4770" w:rsidRPr="00097E81">
        <w:rPr>
          <w:color w:val="000000" w:themeColor="text1"/>
        </w:rPr>
        <w:t xml:space="preserve">disappearance and killing </w:t>
      </w:r>
      <w:r w:rsidRPr="00097E81">
        <w:rPr>
          <w:bCs/>
          <w:color w:val="000000" w:themeColor="text1"/>
        </w:rPr>
        <w:t xml:space="preserve">of Dušan </w:t>
      </w:r>
      <w:r w:rsidR="001E6648" w:rsidRPr="00097E81">
        <w:rPr>
          <w:bCs/>
          <w:color w:val="000000" w:themeColor="text1"/>
        </w:rPr>
        <w:t xml:space="preserve">Jočić, as well as </w:t>
      </w:r>
      <w:r w:rsidR="00DE4770" w:rsidRPr="00097E81">
        <w:rPr>
          <w:bCs/>
          <w:color w:val="000000" w:themeColor="text1"/>
        </w:rPr>
        <w:t>the distress and mental suffering subsequently incurred</w:t>
      </w:r>
      <w:r w:rsidR="001E6648" w:rsidRPr="00097E81">
        <w:rPr>
          <w:bCs/>
          <w:color w:val="000000" w:themeColor="text1"/>
        </w:rPr>
        <w:t>,</w:t>
      </w:r>
      <w:r w:rsidR="001E6648" w:rsidRPr="00097E81">
        <w:rPr>
          <w:bCs/>
        </w:rPr>
        <w:t xml:space="preserve"> and makes </w:t>
      </w:r>
      <w:r w:rsidRPr="00097E81">
        <w:rPr>
          <w:bCs/>
        </w:rPr>
        <w:t>a public apology to the complainant and her family in this regard;</w:t>
      </w:r>
    </w:p>
    <w:p w:rsidR="00FC789E" w:rsidRPr="00097E81" w:rsidRDefault="00FC789E" w:rsidP="00FC789E">
      <w:pPr>
        <w:suppressAutoHyphens/>
        <w:autoSpaceDE w:val="0"/>
        <w:ind w:left="360"/>
        <w:jc w:val="both"/>
        <w:rPr>
          <w:bCs/>
        </w:rPr>
      </w:pPr>
    </w:p>
    <w:p w:rsidR="00FC789E" w:rsidRPr="00097E81" w:rsidRDefault="00FC789E" w:rsidP="004F6CCA">
      <w:pPr>
        <w:numPr>
          <w:ilvl w:val="5"/>
          <w:numId w:val="22"/>
        </w:numPr>
        <w:tabs>
          <w:tab w:val="left" w:pos="709"/>
        </w:tabs>
        <w:suppressAutoHyphens/>
        <w:autoSpaceDE w:val="0"/>
        <w:ind w:left="709" w:hanging="283"/>
        <w:jc w:val="both"/>
        <w:rPr>
          <w:b/>
          <w:bCs/>
          <w:color w:val="333333"/>
        </w:rPr>
      </w:pPr>
      <w:r w:rsidRPr="00097E81">
        <w:t>Takes appropriate steps towards payment of adequate compensation to the complainant for the moral damage suffered due to UNMIK’s failure to conduct an effective investigation</w:t>
      </w:r>
      <w:r w:rsidR="000D27BD" w:rsidRPr="00097E81">
        <w:t>,</w:t>
      </w:r>
      <w:r w:rsidRPr="00097E81">
        <w:t xml:space="preserve"> as well as for distress and </w:t>
      </w:r>
      <w:r w:rsidR="00726DFF" w:rsidRPr="00097E81">
        <w:rPr>
          <w:bCs/>
        </w:rPr>
        <w:t xml:space="preserve">mental suffering </w:t>
      </w:r>
      <w:r w:rsidR="00726DFF" w:rsidRPr="00097E81">
        <w:t xml:space="preserve">incurred </w:t>
      </w:r>
      <w:r w:rsidRPr="00097E81">
        <w:t xml:space="preserve">by the complainant as a consequence of </w:t>
      </w:r>
      <w:r w:rsidR="001E6648" w:rsidRPr="00097E81">
        <w:t>UNMIK’s behavior</w:t>
      </w:r>
      <w:r w:rsidRPr="00097E81">
        <w:t>.</w:t>
      </w:r>
    </w:p>
    <w:p w:rsidR="00EE1A3C" w:rsidRPr="00097E81" w:rsidRDefault="00EE1A3C" w:rsidP="00FC789E">
      <w:pPr>
        <w:pStyle w:val="Default"/>
        <w:tabs>
          <w:tab w:val="left" w:pos="360"/>
        </w:tabs>
        <w:ind w:left="142"/>
        <w:jc w:val="both"/>
        <w:rPr>
          <w:lang w:val="en-GB"/>
        </w:rPr>
      </w:pPr>
    </w:p>
    <w:p w:rsidR="00FC789E" w:rsidRPr="00097E81" w:rsidRDefault="00FC789E" w:rsidP="004F6CCA">
      <w:pPr>
        <w:pStyle w:val="Default"/>
        <w:ind w:left="426"/>
        <w:jc w:val="both"/>
        <w:rPr>
          <w:lang w:val="en-GB"/>
        </w:rPr>
      </w:pPr>
      <w:r w:rsidRPr="00097E81">
        <w:rPr>
          <w:b/>
          <w:bCs/>
          <w:lang w:val="en-GB"/>
        </w:rPr>
        <w:t xml:space="preserve">The </w:t>
      </w:r>
      <w:r w:rsidRPr="00097E81">
        <w:rPr>
          <w:b/>
          <w:lang w:val="en-GB"/>
        </w:rPr>
        <w:t>Panel</w:t>
      </w:r>
      <w:r w:rsidRPr="00097E81">
        <w:rPr>
          <w:b/>
          <w:bCs/>
          <w:lang w:val="en-GB"/>
        </w:rPr>
        <w:t xml:space="preserve"> also considers it appropriate that UNMIK:</w:t>
      </w:r>
    </w:p>
    <w:p w:rsidR="00FC789E" w:rsidRPr="00097E81" w:rsidRDefault="00FC789E" w:rsidP="00FC789E">
      <w:pPr>
        <w:pStyle w:val="ListParagraph1"/>
        <w:rPr>
          <w:b/>
          <w:bCs/>
        </w:rPr>
      </w:pPr>
    </w:p>
    <w:p w:rsidR="00FC789E" w:rsidRPr="00097E81" w:rsidRDefault="00FC789E" w:rsidP="004F6CCA">
      <w:pPr>
        <w:numPr>
          <w:ilvl w:val="5"/>
          <w:numId w:val="22"/>
        </w:numPr>
        <w:tabs>
          <w:tab w:val="left" w:pos="709"/>
        </w:tabs>
        <w:suppressAutoHyphens/>
        <w:autoSpaceDE w:val="0"/>
        <w:ind w:left="709" w:hanging="283"/>
        <w:jc w:val="both"/>
      </w:pPr>
      <w:r w:rsidRPr="00097E81">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C789E" w:rsidRPr="00097E81" w:rsidRDefault="00FC789E" w:rsidP="00FC789E">
      <w:pPr>
        <w:pStyle w:val="ListParagraph1"/>
        <w:jc w:val="both"/>
      </w:pPr>
    </w:p>
    <w:p w:rsidR="00FC789E" w:rsidRPr="00097E81" w:rsidRDefault="00FC789E" w:rsidP="004F6CCA">
      <w:pPr>
        <w:numPr>
          <w:ilvl w:val="5"/>
          <w:numId w:val="22"/>
        </w:numPr>
        <w:tabs>
          <w:tab w:val="left" w:pos="709"/>
        </w:tabs>
        <w:suppressAutoHyphens/>
        <w:autoSpaceDE w:val="0"/>
        <w:ind w:left="709" w:hanging="283"/>
        <w:jc w:val="both"/>
      </w:pPr>
      <w:r w:rsidRPr="00097E81">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C789E" w:rsidRPr="00097E81" w:rsidRDefault="00FC789E" w:rsidP="00FC789E"/>
    <w:p w:rsidR="00FC789E" w:rsidRPr="00097E81" w:rsidRDefault="00FC789E" w:rsidP="00FC789E">
      <w:pPr>
        <w:pStyle w:val="Normal1"/>
        <w:spacing w:before="0" w:beforeAutospacing="0" w:after="0" w:afterAutospacing="0"/>
        <w:jc w:val="both"/>
        <w:rPr>
          <w:b/>
          <w:lang w:val="en-GB"/>
        </w:rPr>
      </w:pPr>
    </w:p>
    <w:p w:rsidR="00FC789E" w:rsidRPr="00097E81" w:rsidRDefault="00FC789E" w:rsidP="00FC789E">
      <w:pPr>
        <w:pStyle w:val="Normal1"/>
        <w:spacing w:before="0" w:beforeAutospacing="0" w:after="0" w:afterAutospacing="0"/>
        <w:jc w:val="both"/>
        <w:rPr>
          <w:b/>
          <w:lang w:val="en-GB"/>
        </w:rPr>
      </w:pPr>
    </w:p>
    <w:p w:rsidR="00FC789E" w:rsidRPr="00097E81" w:rsidRDefault="00FC789E" w:rsidP="00FC789E">
      <w:pPr>
        <w:pStyle w:val="Normal1"/>
        <w:spacing w:before="0" w:beforeAutospacing="0" w:after="0" w:afterAutospacing="0"/>
        <w:jc w:val="both"/>
        <w:rPr>
          <w:b/>
          <w:lang w:val="en-GB"/>
        </w:rPr>
      </w:pPr>
      <w:r w:rsidRPr="00097E81">
        <w:rPr>
          <w:b/>
          <w:lang w:val="en-GB"/>
        </w:rPr>
        <w:t>FOR THESE REASONS,</w:t>
      </w:r>
    </w:p>
    <w:p w:rsidR="00FC789E" w:rsidRPr="00097E81" w:rsidRDefault="00FC789E" w:rsidP="00FC789E">
      <w:pPr>
        <w:pStyle w:val="Normal1"/>
        <w:spacing w:before="0" w:beforeAutospacing="0" w:after="0" w:afterAutospacing="0"/>
        <w:jc w:val="both"/>
        <w:rPr>
          <w:b/>
          <w:lang w:val="en-GB"/>
        </w:rPr>
      </w:pPr>
    </w:p>
    <w:p w:rsidR="00FC789E" w:rsidRPr="00097E81" w:rsidRDefault="00FC789E" w:rsidP="00FC789E">
      <w:pPr>
        <w:pStyle w:val="Normal1"/>
        <w:spacing w:before="0" w:beforeAutospacing="0" w:after="0" w:afterAutospacing="0"/>
        <w:jc w:val="both"/>
        <w:rPr>
          <w:b/>
          <w:lang w:val="en-GB"/>
        </w:rPr>
      </w:pPr>
    </w:p>
    <w:p w:rsidR="00FC789E" w:rsidRPr="00097E81" w:rsidRDefault="00FC789E" w:rsidP="00FC789E">
      <w:pPr>
        <w:autoSpaceDE w:val="0"/>
        <w:autoSpaceDN w:val="0"/>
        <w:adjustRightInd w:val="0"/>
        <w:jc w:val="both"/>
      </w:pPr>
      <w:r w:rsidRPr="00097E81">
        <w:t>The Panel, unanimously,</w:t>
      </w:r>
    </w:p>
    <w:p w:rsidR="00FC789E" w:rsidRPr="00097E81" w:rsidRDefault="00FC789E" w:rsidP="00FC789E">
      <w:pPr>
        <w:autoSpaceDE w:val="0"/>
        <w:autoSpaceDN w:val="0"/>
        <w:adjustRightInd w:val="0"/>
        <w:jc w:val="both"/>
      </w:pPr>
    </w:p>
    <w:p w:rsidR="00FC789E" w:rsidRPr="00097E81" w:rsidRDefault="00FC789E" w:rsidP="00FC789E">
      <w:pPr>
        <w:autoSpaceDE w:val="0"/>
        <w:autoSpaceDN w:val="0"/>
        <w:adjustRightInd w:val="0"/>
        <w:jc w:val="both"/>
      </w:pPr>
    </w:p>
    <w:p w:rsidR="00FC789E" w:rsidRPr="00097E81" w:rsidRDefault="00FC789E" w:rsidP="00FC789E">
      <w:pPr>
        <w:pStyle w:val="JuList"/>
        <w:numPr>
          <w:ilvl w:val="0"/>
          <w:numId w:val="19"/>
        </w:numPr>
        <w:tabs>
          <w:tab w:val="clear" w:pos="567"/>
          <w:tab w:val="num" w:pos="360"/>
        </w:tabs>
        <w:rPr>
          <w:b/>
        </w:rPr>
      </w:pPr>
      <w:r w:rsidRPr="00097E81">
        <w:rPr>
          <w:b/>
        </w:rPr>
        <w:t xml:space="preserve"> FINDS THAT THERE HAS BEEN A VIOLATION OF THE PROCEDURAL OBLIGATION UNDER ARTICLE 2 OF THE EUROPEAN CONVENTION ON HUMAN RIGHTS;</w:t>
      </w:r>
    </w:p>
    <w:p w:rsidR="00FC789E" w:rsidRPr="00097E81" w:rsidRDefault="00FC789E" w:rsidP="00FC789E">
      <w:pPr>
        <w:pStyle w:val="JuList"/>
        <w:ind w:left="0" w:firstLine="0"/>
        <w:rPr>
          <w:b/>
        </w:rPr>
      </w:pPr>
    </w:p>
    <w:p w:rsidR="00FC789E" w:rsidRPr="00097E81" w:rsidRDefault="00FC789E" w:rsidP="00FC789E">
      <w:pPr>
        <w:pStyle w:val="JuList"/>
        <w:numPr>
          <w:ilvl w:val="0"/>
          <w:numId w:val="19"/>
        </w:numPr>
        <w:tabs>
          <w:tab w:val="clear" w:pos="567"/>
          <w:tab w:val="num" w:pos="360"/>
        </w:tabs>
        <w:rPr>
          <w:b/>
          <w:bCs/>
          <w:szCs w:val="24"/>
          <w:lang w:eastAsia="en-US"/>
        </w:rPr>
      </w:pPr>
      <w:r w:rsidRPr="00097E81">
        <w:rPr>
          <w:b/>
        </w:rPr>
        <w:t xml:space="preserve">FINDS THAT THERE HAS BEEN A VIOLATION OF THE </w:t>
      </w:r>
      <w:r w:rsidR="00582439" w:rsidRPr="00097E81">
        <w:rPr>
          <w:b/>
        </w:rPr>
        <w:t xml:space="preserve">SUBSTANTIVE </w:t>
      </w:r>
      <w:r w:rsidRPr="00097E81">
        <w:rPr>
          <w:b/>
        </w:rPr>
        <w:t>OBLIGATION UNDER ARTICLE 3 OF THE EUROPEAN CONVENTION ON HUMAN RIGHTS;</w:t>
      </w:r>
    </w:p>
    <w:p w:rsidR="00FC789E" w:rsidRPr="00097E81" w:rsidRDefault="00FC789E" w:rsidP="00FC789E">
      <w:pPr>
        <w:pStyle w:val="ListParagraph1"/>
        <w:rPr>
          <w:b/>
          <w:bCs/>
          <w:lang w:eastAsia="en-US"/>
        </w:rPr>
      </w:pPr>
    </w:p>
    <w:p w:rsidR="00FC789E" w:rsidRPr="00097E81" w:rsidRDefault="00FC789E" w:rsidP="00FC789E">
      <w:pPr>
        <w:pStyle w:val="JuList"/>
        <w:numPr>
          <w:ilvl w:val="0"/>
          <w:numId w:val="19"/>
        </w:numPr>
        <w:tabs>
          <w:tab w:val="clear" w:pos="567"/>
          <w:tab w:val="num" w:pos="360"/>
        </w:tabs>
        <w:rPr>
          <w:b/>
        </w:rPr>
      </w:pPr>
      <w:r w:rsidRPr="00097E81">
        <w:rPr>
          <w:b/>
        </w:rPr>
        <w:t>RECOMMENDS</w:t>
      </w:r>
      <w:r w:rsidRPr="00097E81">
        <w:rPr>
          <w:b/>
          <w:bCs/>
          <w:lang w:eastAsia="en-US"/>
        </w:rPr>
        <w:t xml:space="preserve"> THAT UNMIK:</w:t>
      </w:r>
    </w:p>
    <w:p w:rsidR="00FC789E" w:rsidRPr="00097E81" w:rsidRDefault="00FC789E" w:rsidP="00FC789E">
      <w:pPr>
        <w:pStyle w:val="JuList"/>
        <w:ind w:left="0" w:firstLine="0"/>
        <w:rPr>
          <w:b/>
          <w:bCs/>
          <w:lang w:eastAsia="en-US"/>
        </w:rPr>
      </w:pPr>
    </w:p>
    <w:p w:rsidR="00FC789E" w:rsidRPr="00097E81" w:rsidRDefault="00FC789E" w:rsidP="00FC789E">
      <w:pPr>
        <w:pStyle w:val="JuList"/>
        <w:numPr>
          <w:ilvl w:val="0"/>
          <w:numId w:val="20"/>
        </w:numPr>
        <w:rPr>
          <w:b/>
          <w:bCs/>
          <w:lang w:eastAsia="en-US"/>
        </w:rPr>
      </w:pPr>
      <w:r w:rsidRPr="00097E81">
        <w:rPr>
          <w:b/>
          <w:bCs/>
          <w:lang w:eastAsia="en-US"/>
        </w:rPr>
        <w:t xml:space="preserve">URGES EULEX AND OTHER COMPETENT AUTHORITIES IN KOSOVO TO TAKE ALL POSSIBLE STEPS IN ORDER TO ENSURE THAT THE CRIMINAL INVESTIGATION INTO THE </w:t>
      </w:r>
      <w:r w:rsidR="00E57085" w:rsidRPr="00097E81">
        <w:rPr>
          <w:b/>
          <w:bCs/>
          <w:lang w:eastAsia="en-US"/>
        </w:rPr>
        <w:t xml:space="preserve">DISAPPEARANCE </w:t>
      </w:r>
      <w:r w:rsidRPr="00097E81">
        <w:rPr>
          <w:b/>
          <w:bCs/>
          <w:lang w:eastAsia="en-US"/>
        </w:rPr>
        <w:t xml:space="preserve">AND KILLING OF </w:t>
      </w:r>
      <w:r w:rsidR="00726DFF" w:rsidRPr="00097E81">
        <w:rPr>
          <w:b/>
          <w:bCs/>
          <w:lang w:eastAsia="en-US"/>
        </w:rPr>
        <w:t>THE COMPLAINANT’S SON</w:t>
      </w:r>
      <w:r w:rsidRPr="00097E81">
        <w:rPr>
          <w:b/>
        </w:rPr>
        <w:t xml:space="preserve"> </w:t>
      </w:r>
      <w:r w:rsidRPr="00097E81">
        <w:rPr>
          <w:b/>
          <w:bCs/>
          <w:lang w:eastAsia="en-US"/>
        </w:rPr>
        <w:t>CONTINUED IN COMPLIANCE WITH ARTICLE 2 OF THE ECHR AND THAT THE PERPETRATORS ARE BROUGHT TO JUSTICE;</w:t>
      </w:r>
    </w:p>
    <w:p w:rsidR="00FC789E" w:rsidRPr="00097E81" w:rsidRDefault="00FC789E" w:rsidP="00FC789E">
      <w:pPr>
        <w:pStyle w:val="JuList"/>
        <w:ind w:left="360" w:firstLine="0"/>
        <w:rPr>
          <w:b/>
          <w:bCs/>
          <w:lang w:eastAsia="en-US"/>
        </w:rPr>
      </w:pPr>
    </w:p>
    <w:p w:rsidR="00FC789E" w:rsidRPr="00097E81" w:rsidRDefault="00FC789E" w:rsidP="00FC789E">
      <w:pPr>
        <w:pStyle w:val="JuList"/>
        <w:numPr>
          <w:ilvl w:val="0"/>
          <w:numId w:val="20"/>
        </w:numPr>
        <w:rPr>
          <w:b/>
          <w:bCs/>
          <w:lang w:eastAsia="en-US"/>
        </w:rPr>
      </w:pPr>
      <w:r w:rsidRPr="00097E81">
        <w:rPr>
          <w:b/>
          <w:bCs/>
          <w:lang w:eastAsia="en-US"/>
        </w:rPr>
        <w:t xml:space="preserve">PUBLICLY ACKNOWLEDGES RESPONSIBILITY FOR ITS FAILURE TO CONDUCT AN EFFECTIVE INVESTIGATION INTO THE </w:t>
      </w:r>
      <w:r w:rsidR="00F963CB" w:rsidRPr="00097E81">
        <w:rPr>
          <w:b/>
          <w:bCs/>
          <w:lang w:eastAsia="en-US"/>
        </w:rPr>
        <w:t>DISAPPEARANCE</w:t>
      </w:r>
      <w:r w:rsidRPr="00097E81">
        <w:rPr>
          <w:b/>
          <w:bCs/>
          <w:lang w:eastAsia="en-US"/>
        </w:rPr>
        <w:t xml:space="preserve"> AND KILLING OF </w:t>
      </w:r>
      <w:r w:rsidR="00726DFF" w:rsidRPr="00097E81">
        <w:rPr>
          <w:b/>
          <w:bCs/>
          <w:lang w:eastAsia="en-US"/>
        </w:rPr>
        <w:t>THE COMPLAINANT’S SON, AS WELL AS FOR</w:t>
      </w:r>
      <w:r w:rsidR="001E6648" w:rsidRPr="00097E81">
        <w:rPr>
          <w:b/>
          <w:color w:val="000000" w:themeColor="text1"/>
        </w:rPr>
        <w:t xml:space="preserve"> DISTRESS AND MENTAL SUFFERING INCURRED, AND</w:t>
      </w:r>
      <w:r w:rsidR="001E6648" w:rsidRPr="00097E81">
        <w:rPr>
          <w:b/>
        </w:rPr>
        <w:t xml:space="preserve"> </w:t>
      </w:r>
      <w:r w:rsidRPr="00097E81">
        <w:rPr>
          <w:b/>
        </w:rPr>
        <w:t xml:space="preserve">MAKES </w:t>
      </w:r>
      <w:r w:rsidRPr="00097E81">
        <w:rPr>
          <w:b/>
          <w:bCs/>
          <w:lang w:eastAsia="en-US"/>
        </w:rPr>
        <w:t>A PUBLIC APOLOGY TO THE COMPLAINANT AND HER FAMILY;</w:t>
      </w:r>
    </w:p>
    <w:p w:rsidR="00FC789E" w:rsidRPr="00097E81" w:rsidRDefault="00FC789E" w:rsidP="00FC789E">
      <w:pPr>
        <w:pStyle w:val="JuList"/>
        <w:ind w:left="360" w:firstLine="0"/>
        <w:rPr>
          <w:b/>
          <w:bCs/>
          <w:lang w:eastAsia="en-US"/>
        </w:rPr>
      </w:pPr>
    </w:p>
    <w:p w:rsidR="00FC789E" w:rsidRPr="00097E81" w:rsidRDefault="00FC789E" w:rsidP="00FC789E">
      <w:pPr>
        <w:pStyle w:val="JuList"/>
        <w:numPr>
          <w:ilvl w:val="0"/>
          <w:numId w:val="20"/>
        </w:numPr>
        <w:rPr>
          <w:b/>
          <w:bCs/>
          <w:caps/>
          <w:lang w:eastAsia="en-US"/>
        </w:rPr>
      </w:pPr>
      <w:r w:rsidRPr="00097E81">
        <w:rPr>
          <w:b/>
          <w:bCs/>
          <w:caps/>
          <w:lang w:eastAsia="en-US"/>
        </w:rPr>
        <w:t>TAKES APPROPRIATE STEPS TOWARDS PAYMENT OF ADEQUATE COMPENSATION OF THE COMPLAINANT FOR MORAL DAMAGE IN RELATION TO THE FINDING OF VIOLATIONS OF ARTICLE 2 AND ARTICLE 3</w:t>
      </w:r>
      <w:r w:rsidR="00726DFF" w:rsidRPr="00097E81">
        <w:rPr>
          <w:b/>
          <w:bCs/>
          <w:caps/>
          <w:lang w:eastAsia="en-US"/>
        </w:rPr>
        <w:t xml:space="preserve"> OF THE ECHR</w:t>
      </w:r>
      <w:r w:rsidRPr="00097E81">
        <w:rPr>
          <w:b/>
          <w:bCs/>
          <w:caps/>
          <w:lang w:eastAsia="en-US"/>
        </w:rPr>
        <w:t>.</w:t>
      </w:r>
    </w:p>
    <w:p w:rsidR="00FC789E" w:rsidRPr="00097E81" w:rsidRDefault="00FC789E" w:rsidP="00FC789E">
      <w:pPr>
        <w:pStyle w:val="JuList"/>
        <w:ind w:left="0" w:firstLine="0"/>
        <w:rPr>
          <w:b/>
          <w:bCs/>
          <w:lang w:eastAsia="en-US"/>
        </w:rPr>
      </w:pPr>
    </w:p>
    <w:p w:rsidR="00FC789E" w:rsidRPr="00097E81" w:rsidRDefault="00FC789E" w:rsidP="00FC789E">
      <w:pPr>
        <w:pStyle w:val="JuList"/>
        <w:numPr>
          <w:ilvl w:val="0"/>
          <w:numId w:val="20"/>
        </w:numPr>
        <w:rPr>
          <w:b/>
          <w:bCs/>
          <w:lang w:eastAsia="en-US"/>
        </w:rPr>
      </w:pPr>
      <w:r w:rsidRPr="00097E81">
        <w:rPr>
          <w:b/>
          <w:bCs/>
          <w:lang w:eastAsia="en-US"/>
        </w:rPr>
        <w:t>TAKES APPROPRIATE STEPS TOWARDS THE REALISATION OF A FULL AND COMPREHENSIVE REPARATION PROGRAMME;</w:t>
      </w:r>
    </w:p>
    <w:p w:rsidR="00FC789E" w:rsidRPr="00097E81" w:rsidRDefault="00FC789E" w:rsidP="00FC789E">
      <w:pPr>
        <w:pStyle w:val="ListParagraph1"/>
        <w:rPr>
          <w:b/>
          <w:bCs/>
          <w:lang w:eastAsia="en-US"/>
        </w:rPr>
      </w:pPr>
    </w:p>
    <w:p w:rsidR="00FC789E" w:rsidRPr="00097E81" w:rsidRDefault="00FC789E" w:rsidP="00FC789E">
      <w:pPr>
        <w:pStyle w:val="JuList"/>
        <w:numPr>
          <w:ilvl w:val="0"/>
          <w:numId w:val="20"/>
        </w:numPr>
        <w:rPr>
          <w:b/>
          <w:bCs/>
          <w:lang w:eastAsia="en-US"/>
        </w:rPr>
      </w:pPr>
      <w:r w:rsidRPr="00097E81">
        <w:rPr>
          <w:b/>
          <w:bCs/>
          <w:lang w:eastAsia="en-US"/>
        </w:rPr>
        <w:t>TAKES APPROPRIATE STEPS AT THE UNITED NATIONS AS A GUARANTEE OF NON REPETITION;</w:t>
      </w:r>
    </w:p>
    <w:p w:rsidR="00FC789E" w:rsidRPr="00097E81" w:rsidRDefault="00FC789E" w:rsidP="00FC789E">
      <w:pPr>
        <w:pStyle w:val="JuList"/>
        <w:ind w:left="0" w:firstLine="0"/>
        <w:rPr>
          <w:b/>
          <w:bCs/>
          <w:lang w:eastAsia="en-US"/>
        </w:rPr>
      </w:pPr>
    </w:p>
    <w:p w:rsidR="00FC789E" w:rsidRPr="00097E81" w:rsidRDefault="00FC789E" w:rsidP="00FC789E">
      <w:pPr>
        <w:pStyle w:val="JuList"/>
        <w:numPr>
          <w:ilvl w:val="0"/>
          <w:numId w:val="20"/>
        </w:numPr>
        <w:rPr>
          <w:b/>
          <w:bCs/>
          <w:lang w:eastAsia="en-US"/>
        </w:rPr>
      </w:pPr>
      <w:r w:rsidRPr="00097E81">
        <w:rPr>
          <w:b/>
          <w:bCs/>
          <w:lang w:eastAsia="en-US"/>
        </w:rPr>
        <w:t>TAKES IMMEDIATE AND EFFECTIVE MEASURES TO IMPLEMENT THE RECOMMENDATIONS OF THE PANEL AND TO INFORM THE COMPLAINANT AND THE PANEL ABOUT FURTHER DEVELOPMENTS IN THIS CASE.</w:t>
      </w:r>
    </w:p>
    <w:p w:rsidR="00FC789E" w:rsidRPr="00097E81" w:rsidRDefault="00FC789E" w:rsidP="00FC789E">
      <w:pPr>
        <w:autoSpaceDE w:val="0"/>
        <w:autoSpaceDN w:val="0"/>
        <w:adjustRightInd w:val="0"/>
        <w:jc w:val="both"/>
        <w:rPr>
          <w:b/>
          <w:bCs/>
        </w:rPr>
      </w:pPr>
    </w:p>
    <w:p w:rsidR="00FC789E" w:rsidRPr="00097E81" w:rsidRDefault="00FC789E" w:rsidP="00FC789E">
      <w:pPr>
        <w:autoSpaceDE w:val="0"/>
        <w:autoSpaceDN w:val="0"/>
        <w:adjustRightInd w:val="0"/>
        <w:jc w:val="both"/>
      </w:pPr>
    </w:p>
    <w:p w:rsidR="00F963CB" w:rsidRDefault="00F963CB" w:rsidP="00FC789E">
      <w:pPr>
        <w:autoSpaceDE w:val="0"/>
        <w:autoSpaceDN w:val="0"/>
        <w:adjustRightInd w:val="0"/>
        <w:jc w:val="both"/>
      </w:pPr>
    </w:p>
    <w:p w:rsidR="008A7DC0" w:rsidRDefault="008A7DC0" w:rsidP="00FC789E">
      <w:pPr>
        <w:autoSpaceDE w:val="0"/>
        <w:autoSpaceDN w:val="0"/>
        <w:adjustRightInd w:val="0"/>
        <w:jc w:val="both"/>
      </w:pPr>
    </w:p>
    <w:p w:rsidR="008A7DC0" w:rsidRDefault="008A7DC0" w:rsidP="00FC789E">
      <w:pPr>
        <w:autoSpaceDE w:val="0"/>
        <w:autoSpaceDN w:val="0"/>
        <w:adjustRightInd w:val="0"/>
        <w:jc w:val="both"/>
      </w:pPr>
    </w:p>
    <w:p w:rsidR="008A7DC0" w:rsidRDefault="008A7DC0" w:rsidP="00FC789E">
      <w:pPr>
        <w:autoSpaceDE w:val="0"/>
        <w:autoSpaceDN w:val="0"/>
        <w:adjustRightInd w:val="0"/>
        <w:jc w:val="both"/>
      </w:pPr>
    </w:p>
    <w:p w:rsidR="008A7DC0" w:rsidRPr="00097E81" w:rsidRDefault="008A7DC0" w:rsidP="00FC789E">
      <w:pPr>
        <w:autoSpaceDE w:val="0"/>
        <w:autoSpaceDN w:val="0"/>
        <w:adjustRightInd w:val="0"/>
        <w:jc w:val="both"/>
      </w:pPr>
    </w:p>
    <w:p w:rsidR="00F963CB" w:rsidRPr="00097E81" w:rsidRDefault="00F963CB" w:rsidP="00FC789E">
      <w:pPr>
        <w:autoSpaceDE w:val="0"/>
        <w:autoSpaceDN w:val="0"/>
        <w:adjustRightInd w:val="0"/>
        <w:jc w:val="both"/>
      </w:pPr>
    </w:p>
    <w:p w:rsidR="00FC789E" w:rsidRPr="00097E81" w:rsidRDefault="005D62FA" w:rsidP="00FC789E">
      <w:pPr>
        <w:autoSpaceDE w:val="0"/>
        <w:autoSpaceDN w:val="0"/>
        <w:adjustRightInd w:val="0"/>
        <w:jc w:val="both"/>
      </w:pPr>
      <w:r w:rsidRPr="00097E81">
        <w:t xml:space="preserve">   </w:t>
      </w:r>
      <w:r w:rsidR="00FC789E" w:rsidRPr="00097E81">
        <w:t>Andrey ANTONOV</w:t>
      </w:r>
      <w:r w:rsidR="00FC789E" w:rsidRPr="00097E81">
        <w:tab/>
      </w:r>
      <w:r w:rsidR="00FC789E" w:rsidRPr="00097E81">
        <w:tab/>
      </w:r>
      <w:r w:rsidR="00FC789E" w:rsidRPr="00097E81">
        <w:tab/>
      </w:r>
      <w:r w:rsidRPr="00097E81">
        <w:tab/>
      </w:r>
      <w:r w:rsidRPr="00097E81">
        <w:tab/>
      </w:r>
      <w:r w:rsidRPr="00097E81">
        <w:tab/>
      </w:r>
      <w:r w:rsidRPr="00097E81">
        <w:tab/>
      </w:r>
      <w:r w:rsidR="00FC789E" w:rsidRPr="00097E81">
        <w:t>Marek NOWICKI</w:t>
      </w:r>
    </w:p>
    <w:p w:rsidR="00FC789E" w:rsidRPr="00097E81" w:rsidRDefault="00FC789E" w:rsidP="00FC789E">
      <w:pPr>
        <w:autoSpaceDE w:val="0"/>
        <w:autoSpaceDN w:val="0"/>
        <w:adjustRightInd w:val="0"/>
        <w:jc w:val="both"/>
      </w:pPr>
      <w:r w:rsidRPr="00097E81">
        <w:t xml:space="preserve"> </w:t>
      </w:r>
      <w:r w:rsidR="005D62FA" w:rsidRPr="00097E81">
        <w:t xml:space="preserve">  </w:t>
      </w:r>
      <w:r w:rsidRPr="00097E81">
        <w:t xml:space="preserve">Executive Officer </w:t>
      </w:r>
      <w:r w:rsidRPr="00097E81">
        <w:tab/>
      </w:r>
      <w:r w:rsidRPr="00097E81">
        <w:tab/>
        <w:t xml:space="preserve"> </w:t>
      </w:r>
      <w:r w:rsidRPr="00097E81">
        <w:tab/>
      </w:r>
      <w:r w:rsidRPr="00097E81">
        <w:tab/>
      </w:r>
      <w:r w:rsidRPr="00097E81">
        <w:tab/>
      </w:r>
      <w:r w:rsidR="005D62FA" w:rsidRPr="00097E81">
        <w:tab/>
      </w:r>
      <w:r w:rsidR="005D62FA" w:rsidRPr="00097E81">
        <w:tab/>
      </w:r>
      <w:r w:rsidRPr="00097E81">
        <w:t>Presiding Member</w:t>
      </w:r>
    </w:p>
    <w:p w:rsidR="00FC789E" w:rsidRPr="00097E81" w:rsidRDefault="00FC789E" w:rsidP="00FC789E">
      <w:pPr>
        <w:autoSpaceDE w:val="0"/>
        <w:autoSpaceDN w:val="0"/>
        <w:adjustRightInd w:val="0"/>
        <w:jc w:val="both"/>
        <w:rPr>
          <w:lang w:val="en-GB"/>
        </w:rPr>
      </w:pPr>
      <w:r w:rsidRPr="00097E81">
        <w:br w:type="page"/>
      </w:r>
    </w:p>
    <w:p w:rsidR="00FC789E" w:rsidRPr="00097E81" w:rsidRDefault="00FC789E" w:rsidP="00FC789E">
      <w:r w:rsidRPr="00097E81">
        <w:rPr>
          <w:b/>
        </w:rPr>
        <w:t>ABBREVIATIONS AND ACRONYMS</w:t>
      </w:r>
    </w:p>
    <w:p w:rsidR="00FC789E" w:rsidRPr="00097E81" w:rsidRDefault="00FC789E" w:rsidP="00FC789E">
      <w:pPr>
        <w:autoSpaceDE w:val="0"/>
        <w:jc w:val="both"/>
      </w:pPr>
    </w:p>
    <w:p w:rsidR="00FC789E" w:rsidRPr="00097E81" w:rsidRDefault="00FC789E" w:rsidP="00FC789E">
      <w:pPr>
        <w:autoSpaceDE w:val="0"/>
        <w:jc w:val="both"/>
      </w:pPr>
    </w:p>
    <w:p w:rsidR="00FC789E" w:rsidRPr="00097E81" w:rsidRDefault="00FC789E" w:rsidP="00FC789E">
      <w:pPr>
        <w:autoSpaceDE w:val="0"/>
        <w:spacing w:line="276" w:lineRule="auto"/>
        <w:ind w:left="540"/>
        <w:jc w:val="both"/>
      </w:pPr>
      <w:r w:rsidRPr="00097E81">
        <w:rPr>
          <w:b/>
        </w:rPr>
        <w:t xml:space="preserve">CCIU </w:t>
      </w:r>
      <w:r w:rsidRPr="00097E81">
        <w:t>- Central Criminal Investigation Unit</w:t>
      </w:r>
    </w:p>
    <w:p w:rsidR="00FC789E" w:rsidRPr="00097E81" w:rsidRDefault="00FC789E" w:rsidP="00FC789E">
      <w:pPr>
        <w:autoSpaceDE w:val="0"/>
        <w:spacing w:line="276" w:lineRule="auto"/>
        <w:ind w:left="540"/>
        <w:jc w:val="both"/>
      </w:pPr>
      <w:r w:rsidRPr="00097E81">
        <w:rPr>
          <w:b/>
        </w:rPr>
        <w:t xml:space="preserve">DOJ </w:t>
      </w:r>
      <w:r w:rsidRPr="00097E81">
        <w:t>- Department of Justice</w:t>
      </w:r>
    </w:p>
    <w:p w:rsidR="00FC789E" w:rsidRPr="00097E81" w:rsidRDefault="00FC789E" w:rsidP="00FC789E">
      <w:pPr>
        <w:autoSpaceDE w:val="0"/>
        <w:spacing w:line="276" w:lineRule="auto"/>
        <w:ind w:left="540"/>
        <w:jc w:val="both"/>
      </w:pPr>
      <w:r w:rsidRPr="00097E81">
        <w:rPr>
          <w:b/>
        </w:rPr>
        <w:t>DPPO</w:t>
      </w:r>
      <w:r w:rsidRPr="00097E81">
        <w:t xml:space="preserve"> - District Public Prosecutor’s Office</w:t>
      </w:r>
    </w:p>
    <w:p w:rsidR="00FC789E" w:rsidRPr="00097E81" w:rsidRDefault="00FC789E" w:rsidP="00FC789E">
      <w:pPr>
        <w:autoSpaceDE w:val="0"/>
        <w:spacing w:line="276" w:lineRule="auto"/>
        <w:ind w:left="540"/>
        <w:jc w:val="both"/>
      </w:pPr>
      <w:r w:rsidRPr="00097E81">
        <w:rPr>
          <w:b/>
        </w:rPr>
        <w:t>ECHR</w:t>
      </w:r>
      <w:r w:rsidRPr="00097E81">
        <w:t xml:space="preserve"> - European Convention on Human Rights</w:t>
      </w:r>
    </w:p>
    <w:p w:rsidR="00FC789E" w:rsidRPr="00097E81" w:rsidRDefault="00FC789E" w:rsidP="00FC789E">
      <w:pPr>
        <w:autoSpaceDE w:val="0"/>
        <w:spacing w:line="276" w:lineRule="auto"/>
        <w:ind w:left="540"/>
        <w:jc w:val="both"/>
      </w:pPr>
      <w:r w:rsidRPr="00097E81">
        <w:rPr>
          <w:b/>
        </w:rPr>
        <w:t xml:space="preserve">ECtHR </w:t>
      </w:r>
      <w:r w:rsidRPr="00097E81">
        <w:t xml:space="preserve">- European Court of Human Rights </w:t>
      </w:r>
    </w:p>
    <w:p w:rsidR="00FC789E" w:rsidRPr="00097E81" w:rsidRDefault="00FC789E" w:rsidP="00FC789E">
      <w:pPr>
        <w:autoSpaceDE w:val="0"/>
        <w:spacing w:line="276" w:lineRule="auto"/>
        <w:ind w:left="540"/>
        <w:jc w:val="both"/>
      </w:pPr>
      <w:r w:rsidRPr="00097E81">
        <w:rPr>
          <w:b/>
        </w:rPr>
        <w:t>EU</w:t>
      </w:r>
      <w:r w:rsidRPr="00097E81">
        <w:t xml:space="preserve"> - European Union</w:t>
      </w:r>
    </w:p>
    <w:p w:rsidR="00FC789E" w:rsidRPr="00097E81" w:rsidRDefault="00FC789E" w:rsidP="00FC789E">
      <w:pPr>
        <w:autoSpaceDE w:val="0"/>
        <w:spacing w:line="276" w:lineRule="auto"/>
        <w:ind w:left="540"/>
        <w:jc w:val="both"/>
      </w:pPr>
      <w:r w:rsidRPr="00097E81">
        <w:rPr>
          <w:b/>
        </w:rPr>
        <w:t>EULEX</w:t>
      </w:r>
      <w:r w:rsidRPr="00097E81">
        <w:t xml:space="preserve"> - European Union Rule of Law Mission in Kosovo</w:t>
      </w:r>
    </w:p>
    <w:p w:rsidR="00FC789E" w:rsidRPr="00097E81" w:rsidRDefault="00FC789E" w:rsidP="00FC789E">
      <w:pPr>
        <w:autoSpaceDE w:val="0"/>
        <w:spacing w:line="276" w:lineRule="auto"/>
        <w:ind w:left="540"/>
        <w:jc w:val="both"/>
      </w:pPr>
      <w:r w:rsidRPr="00097E81">
        <w:rPr>
          <w:b/>
        </w:rPr>
        <w:t xml:space="preserve">FRY </w:t>
      </w:r>
      <w:r w:rsidRPr="00097E81">
        <w:t xml:space="preserve">- Federal Republic of Yugoslavia </w:t>
      </w:r>
    </w:p>
    <w:p w:rsidR="00FC789E" w:rsidRPr="00097E81" w:rsidRDefault="00FC789E" w:rsidP="00FC789E">
      <w:pPr>
        <w:autoSpaceDE w:val="0"/>
        <w:spacing w:line="276" w:lineRule="auto"/>
        <w:ind w:left="540"/>
        <w:jc w:val="both"/>
      </w:pPr>
      <w:r w:rsidRPr="00097E81">
        <w:rPr>
          <w:b/>
        </w:rPr>
        <w:t xml:space="preserve">HRAP </w:t>
      </w:r>
      <w:r w:rsidRPr="00097E81">
        <w:t>- Human Rights Advisory Panel</w:t>
      </w:r>
    </w:p>
    <w:p w:rsidR="00FC789E" w:rsidRPr="00097E81" w:rsidRDefault="00FC789E" w:rsidP="00FC789E">
      <w:pPr>
        <w:autoSpaceDE w:val="0"/>
        <w:spacing w:line="276" w:lineRule="auto"/>
        <w:ind w:left="540"/>
        <w:jc w:val="both"/>
      </w:pPr>
      <w:r w:rsidRPr="00097E81">
        <w:rPr>
          <w:b/>
        </w:rPr>
        <w:t>HRC</w:t>
      </w:r>
      <w:r w:rsidRPr="00097E81">
        <w:t xml:space="preserve"> - United Nations Human Rights Committee</w:t>
      </w:r>
    </w:p>
    <w:p w:rsidR="00FC789E" w:rsidRPr="00097E81" w:rsidRDefault="00FC789E" w:rsidP="00FC789E">
      <w:pPr>
        <w:autoSpaceDE w:val="0"/>
        <w:spacing w:line="276" w:lineRule="auto"/>
        <w:ind w:left="540"/>
        <w:jc w:val="both"/>
      </w:pPr>
      <w:r w:rsidRPr="00097E81">
        <w:rPr>
          <w:b/>
        </w:rPr>
        <w:t xml:space="preserve">IACtHR </w:t>
      </w:r>
      <w:r w:rsidRPr="00097E81">
        <w:t>- Inter-American Court of Human Rights</w:t>
      </w:r>
    </w:p>
    <w:p w:rsidR="00FC789E" w:rsidRPr="00097E81" w:rsidRDefault="00FC789E" w:rsidP="00FC789E">
      <w:pPr>
        <w:autoSpaceDE w:val="0"/>
        <w:spacing w:line="276" w:lineRule="auto"/>
        <w:ind w:left="540"/>
        <w:jc w:val="both"/>
      </w:pPr>
      <w:r w:rsidRPr="00097E81">
        <w:rPr>
          <w:b/>
        </w:rPr>
        <w:t xml:space="preserve">ICCPR </w:t>
      </w:r>
      <w:r w:rsidRPr="00097E81">
        <w:t>- International Covenant on Civil and Political Rights</w:t>
      </w:r>
    </w:p>
    <w:p w:rsidR="00FC789E" w:rsidRPr="00097E81" w:rsidRDefault="00FC789E" w:rsidP="00FC789E">
      <w:pPr>
        <w:autoSpaceDE w:val="0"/>
        <w:spacing w:line="276" w:lineRule="auto"/>
        <w:ind w:left="540"/>
        <w:jc w:val="both"/>
      </w:pPr>
      <w:r w:rsidRPr="00097E81">
        <w:rPr>
          <w:b/>
        </w:rPr>
        <w:t>ICMP</w:t>
      </w:r>
      <w:r w:rsidRPr="00097E81">
        <w:t xml:space="preserve"> - International Commission of Missing Persons</w:t>
      </w:r>
    </w:p>
    <w:p w:rsidR="00FC789E" w:rsidRPr="00097E81" w:rsidRDefault="00FC789E" w:rsidP="00FC789E">
      <w:pPr>
        <w:autoSpaceDE w:val="0"/>
        <w:spacing w:line="276" w:lineRule="auto"/>
        <w:ind w:left="540"/>
        <w:jc w:val="both"/>
      </w:pPr>
      <w:r w:rsidRPr="00097E81">
        <w:rPr>
          <w:b/>
        </w:rPr>
        <w:t>ICRC</w:t>
      </w:r>
      <w:r w:rsidRPr="00097E81">
        <w:t xml:space="preserve"> - International Committee of the Red Cross</w:t>
      </w:r>
    </w:p>
    <w:p w:rsidR="00FC789E" w:rsidRPr="00097E81" w:rsidRDefault="00FC789E" w:rsidP="00FC789E">
      <w:pPr>
        <w:autoSpaceDE w:val="0"/>
        <w:spacing w:line="276" w:lineRule="auto"/>
        <w:ind w:left="540"/>
        <w:jc w:val="both"/>
      </w:pPr>
      <w:r w:rsidRPr="00097E81">
        <w:rPr>
          <w:b/>
        </w:rPr>
        <w:t>KFOR</w:t>
      </w:r>
      <w:r w:rsidRPr="00097E81">
        <w:t xml:space="preserve"> - International Security Force (commonly known as Kosovo Force)</w:t>
      </w:r>
    </w:p>
    <w:p w:rsidR="00FC789E" w:rsidRPr="00097E81" w:rsidRDefault="00FC789E" w:rsidP="00FC789E">
      <w:pPr>
        <w:autoSpaceDE w:val="0"/>
        <w:spacing w:line="276" w:lineRule="auto"/>
        <w:ind w:left="540"/>
        <w:jc w:val="both"/>
      </w:pPr>
      <w:r w:rsidRPr="00097E81">
        <w:rPr>
          <w:b/>
        </w:rPr>
        <w:t>KLA</w:t>
      </w:r>
      <w:r w:rsidRPr="00097E81">
        <w:t xml:space="preserve"> - Kosovo Liberation Army</w:t>
      </w:r>
    </w:p>
    <w:p w:rsidR="00FC789E" w:rsidRPr="00097E81" w:rsidRDefault="00FC789E" w:rsidP="00FC789E">
      <w:pPr>
        <w:autoSpaceDE w:val="0"/>
        <w:spacing w:line="276" w:lineRule="auto"/>
        <w:ind w:left="540"/>
        <w:jc w:val="both"/>
      </w:pPr>
      <w:r w:rsidRPr="00097E81">
        <w:rPr>
          <w:b/>
        </w:rPr>
        <w:t xml:space="preserve">MoU - </w:t>
      </w:r>
      <w:r w:rsidRPr="00097E81">
        <w:t>Memorandum of Understanding</w:t>
      </w:r>
    </w:p>
    <w:p w:rsidR="00FC789E" w:rsidRPr="00097E81" w:rsidRDefault="00FC789E" w:rsidP="00FC789E">
      <w:pPr>
        <w:autoSpaceDE w:val="0"/>
        <w:spacing w:line="276" w:lineRule="auto"/>
        <w:ind w:left="540"/>
        <w:jc w:val="both"/>
      </w:pPr>
      <w:r w:rsidRPr="00097E81">
        <w:rPr>
          <w:b/>
        </w:rPr>
        <w:t xml:space="preserve">MPU </w:t>
      </w:r>
      <w:r w:rsidRPr="00097E81">
        <w:t>- Missing Persons Unit</w:t>
      </w:r>
    </w:p>
    <w:p w:rsidR="00FC789E" w:rsidRPr="00097E81" w:rsidRDefault="00FC789E" w:rsidP="00FC789E">
      <w:pPr>
        <w:autoSpaceDE w:val="0"/>
        <w:spacing w:line="276" w:lineRule="auto"/>
        <w:ind w:left="540"/>
        <w:jc w:val="both"/>
      </w:pPr>
      <w:r w:rsidRPr="00097E81">
        <w:rPr>
          <w:b/>
        </w:rPr>
        <w:t xml:space="preserve">MUP - </w:t>
      </w:r>
      <w:r w:rsidRPr="00097E81">
        <w:rPr>
          <w:lang w:val="en-GB"/>
        </w:rPr>
        <w:t xml:space="preserve">Serbian Ministry of Internal Affairs (Serbian: </w:t>
      </w:r>
      <w:r w:rsidRPr="00097E81">
        <w:rPr>
          <w:i/>
          <w:lang w:val="ru-RU"/>
        </w:rPr>
        <w:t>Министарство</w:t>
      </w:r>
      <w:r w:rsidRPr="00097E81">
        <w:rPr>
          <w:i/>
        </w:rPr>
        <w:t xml:space="preserve"> </w:t>
      </w:r>
      <w:r w:rsidRPr="00097E81">
        <w:rPr>
          <w:i/>
          <w:lang w:val="ru-RU"/>
        </w:rPr>
        <w:t>унутрашних</w:t>
      </w:r>
      <w:r w:rsidRPr="00097E81">
        <w:rPr>
          <w:i/>
        </w:rPr>
        <w:t xml:space="preserve"> </w:t>
      </w:r>
      <w:r w:rsidRPr="00097E81">
        <w:rPr>
          <w:i/>
          <w:lang w:val="ru-RU"/>
        </w:rPr>
        <w:t>послова</w:t>
      </w:r>
      <w:r w:rsidRPr="00097E81">
        <w:t>)</w:t>
      </w:r>
    </w:p>
    <w:p w:rsidR="00FC789E" w:rsidRPr="00097E81" w:rsidRDefault="00FC789E" w:rsidP="00FC789E">
      <w:pPr>
        <w:autoSpaceDE w:val="0"/>
        <w:spacing w:line="276" w:lineRule="auto"/>
        <w:ind w:left="540"/>
        <w:jc w:val="both"/>
      </w:pPr>
      <w:r w:rsidRPr="00097E81">
        <w:rPr>
          <w:b/>
        </w:rPr>
        <w:t>NATO</w:t>
      </w:r>
      <w:r w:rsidRPr="00097E81">
        <w:t xml:space="preserve"> - North Atlantic Treaty Organization </w:t>
      </w:r>
    </w:p>
    <w:p w:rsidR="00FC789E" w:rsidRPr="00097E81" w:rsidRDefault="00FC789E" w:rsidP="00FC789E">
      <w:pPr>
        <w:autoSpaceDE w:val="0"/>
        <w:spacing w:line="276" w:lineRule="auto"/>
        <w:ind w:left="540"/>
        <w:jc w:val="both"/>
      </w:pPr>
      <w:r w:rsidRPr="00097E81">
        <w:rPr>
          <w:b/>
        </w:rPr>
        <w:t>OMPF</w:t>
      </w:r>
      <w:r w:rsidRPr="00097E81">
        <w:t xml:space="preserve"> - Office on Missing Persons and Forensics</w:t>
      </w:r>
    </w:p>
    <w:p w:rsidR="00FC789E" w:rsidRPr="00097E81" w:rsidRDefault="00FC789E" w:rsidP="00FC789E">
      <w:pPr>
        <w:autoSpaceDE w:val="0"/>
        <w:spacing w:line="276" w:lineRule="auto"/>
        <w:ind w:left="540"/>
        <w:jc w:val="both"/>
      </w:pPr>
      <w:r w:rsidRPr="00097E81">
        <w:rPr>
          <w:b/>
        </w:rPr>
        <w:t>OSCE</w:t>
      </w:r>
      <w:r w:rsidRPr="00097E81">
        <w:t xml:space="preserve"> - Organization for Security and Cooperation in Europe</w:t>
      </w:r>
    </w:p>
    <w:p w:rsidR="00FC789E" w:rsidRPr="00097E81" w:rsidRDefault="00FC789E" w:rsidP="00FC789E">
      <w:pPr>
        <w:autoSpaceDE w:val="0"/>
        <w:spacing w:line="276" w:lineRule="auto"/>
        <w:ind w:left="540"/>
        <w:jc w:val="both"/>
      </w:pPr>
      <w:r w:rsidRPr="00097E81">
        <w:rPr>
          <w:b/>
        </w:rPr>
        <w:t xml:space="preserve">RIU - </w:t>
      </w:r>
      <w:r w:rsidRPr="00097E81">
        <w:t>Regional Investigation Unit</w:t>
      </w:r>
    </w:p>
    <w:p w:rsidR="00FC789E" w:rsidRPr="00097E81" w:rsidRDefault="00FC789E" w:rsidP="00FC789E">
      <w:pPr>
        <w:autoSpaceDE w:val="0"/>
        <w:spacing w:line="276" w:lineRule="auto"/>
        <w:ind w:left="540"/>
        <w:jc w:val="both"/>
      </w:pPr>
      <w:r w:rsidRPr="00097E81">
        <w:rPr>
          <w:b/>
        </w:rPr>
        <w:t>SRSG</w:t>
      </w:r>
      <w:r w:rsidRPr="00097E81">
        <w:t xml:space="preserve"> - Special Representative of the Secretary-General </w:t>
      </w:r>
    </w:p>
    <w:p w:rsidR="00FC789E" w:rsidRPr="00097E81" w:rsidRDefault="00FC789E" w:rsidP="00FC789E">
      <w:pPr>
        <w:autoSpaceDE w:val="0"/>
        <w:spacing w:line="276" w:lineRule="auto"/>
        <w:ind w:left="540"/>
        <w:jc w:val="both"/>
      </w:pPr>
      <w:r w:rsidRPr="00097E81">
        <w:rPr>
          <w:b/>
        </w:rPr>
        <w:t>UN</w:t>
      </w:r>
      <w:r w:rsidRPr="00097E81">
        <w:t xml:space="preserve"> - United Nations</w:t>
      </w:r>
    </w:p>
    <w:p w:rsidR="00FC789E" w:rsidRPr="00097E81" w:rsidRDefault="00FC789E" w:rsidP="00FC789E">
      <w:pPr>
        <w:autoSpaceDE w:val="0"/>
        <w:spacing w:line="276" w:lineRule="auto"/>
        <w:ind w:left="540"/>
        <w:jc w:val="both"/>
      </w:pPr>
      <w:r w:rsidRPr="00097E81">
        <w:rPr>
          <w:b/>
        </w:rPr>
        <w:t xml:space="preserve">UNHCR </w:t>
      </w:r>
      <w:r w:rsidRPr="00097E81">
        <w:t>- United Nations High Commissioner for Refugees</w:t>
      </w:r>
    </w:p>
    <w:p w:rsidR="00FC789E" w:rsidRPr="00097E81" w:rsidRDefault="00FC789E" w:rsidP="00FC789E">
      <w:pPr>
        <w:autoSpaceDE w:val="0"/>
        <w:spacing w:line="276" w:lineRule="auto"/>
        <w:ind w:left="540"/>
        <w:jc w:val="both"/>
      </w:pPr>
      <w:r w:rsidRPr="00097E81">
        <w:rPr>
          <w:b/>
        </w:rPr>
        <w:t>UNMIK</w:t>
      </w:r>
      <w:r w:rsidRPr="00097E81">
        <w:t xml:space="preserve"> - United Nations Interim Administration Mission in Kosovo </w:t>
      </w:r>
    </w:p>
    <w:p w:rsidR="00FC789E" w:rsidRPr="00097E81" w:rsidRDefault="00FC789E" w:rsidP="00FC789E">
      <w:pPr>
        <w:autoSpaceDE w:val="0"/>
        <w:spacing w:line="276" w:lineRule="auto"/>
        <w:ind w:left="540"/>
        <w:jc w:val="both"/>
      </w:pPr>
      <w:r w:rsidRPr="00097E81">
        <w:rPr>
          <w:b/>
        </w:rPr>
        <w:t>VRIC</w:t>
      </w:r>
      <w:r w:rsidRPr="00097E81">
        <w:t xml:space="preserve"> - Victim Recovery and Identification Commission</w:t>
      </w:r>
    </w:p>
    <w:p w:rsidR="00FC789E" w:rsidRDefault="00FC789E" w:rsidP="00FC789E">
      <w:pPr>
        <w:autoSpaceDE w:val="0"/>
        <w:spacing w:line="276" w:lineRule="auto"/>
        <w:ind w:left="540"/>
        <w:jc w:val="both"/>
      </w:pPr>
      <w:r w:rsidRPr="00097E81">
        <w:rPr>
          <w:b/>
        </w:rPr>
        <w:t xml:space="preserve">WCIU </w:t>
      </w:r>
      <w:r w:rsidRPr="00097E81">
        <w:t>- War Crimes Investigation Unit</w:t>
      </w:r>
    </w:p>
    <w:p w:rsidR="00FC789E" w:rsidRDefault="00FC789E" w:rsidP="00FC789E">
      <w:pPr>
        <w:suppressAutoHyphens/>
        <w:autoSpaceDE w:val="0"/>
        <w:ind w:left="360"/>
        <w:jc w:val="both"/>
        <w:rPr>
          <w:lang w:val="en-GB"/>
        </w:rPr>
      </w:pPr>
    </w:p>
    <w:sectPr w:rsidR="00FC789E" w:rsidSect="003A735E">
      <w:headerReference w:type="default" r:id="rId10"/>
      <w:pgSz w:w="12240" w:h="15840"/>
      <w:pgMar w:top="709" w:right="1608" w:bottom="907" w:left="15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58" w:rsidRDefault="004E2C58">
      <w:r>
        <w:separator/>
      </w:r>
    </w:p>
  </w:endnote>
  <w:endnote w:type="continuationSeparator" w:id="0">
    <w:p w:rsidR="004E2C58" w:rsidRDefault="004E2C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58" w:rsidRDefault="004E2C58">
      <w:r>
        <w:separator/>
      </w:r>
    </w:p>
  </w:footnote>
  <w:footnote w:type="continuationSeparator" w:id="0">
    <w:p w:rsidR="004E2C58" w:rsidRDefault="004E2C58">
      <w:r>
        <w:continuationSeparator/>
      </w:r>
    </w:p>
  </w:footnote>
  <w:footnote w:id="1">
    <w:p w:rsidR="000D27BD" w:rsidRPr="00DD3E1C" w:rsidRDefault="000D27BD" w:rsidP="00FC789E">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0D27BD" w:rsidRPr="00680EF0" w:rsidRDefault="000D27BD" w:rsidP="00FC789E">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0D27BD" w:rsidRPr="00DD3E1C" w:rsidRDefault="000D27BD" w:rsidP="00FC789E">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3"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sidRPr="00EE5E0E">
        <w:rPr>
          <w:rFonts w:ascii="Times New Roman" w:hAnsi="Times New Roman"/>
          <w:sz w:val="20"/>
        </w:rPr>
        <w:t>accessed on 15 April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BD" w:rsidRPr="003D299C" w:rsidRDefault="00E508EB">
    <w:pPr>
      <w:pStyle w:val="Header"/>
      <w:jc w:val="right"/>
      <w:rPr>
        <w:sz w:val="20"/>
        <w:szCs w:val="20"/>
      </w:rPr>
    </w:pPr>
    <w:r w:rsidRPr="003D299C">
      <w:rPr>
        <w:sz w:val="20"/>
        <w:szCs w:val="20"/>
      </w:rPr>
      <w:fldChar w:fldCharType="begin"/>
    </w:r>
    <w:r w:rsidR="000D27BD" w:rsidRPr="003D299C">
      <w:rPr>
        <w:sz w:val="20"/>
        <w:szCs w:val="20"/>
      </w:rPr>
      <w:instrText xml:space="preserve"> </w:instrText>
    </w:r>
    <w:r w:rsidR="000D27BD">
      <w:rPr>
        <w:sz w:val="20"/>
        <w:szCs w:val="20"/>
      </w:rPr>
      <w:instrText>PAGE</w:instrText>
    </w:r>
    <w:r w:rsidR="000D27BD" w:rsidRPr="003D299C">
      <w:rPr>
        <w:sz w:val="20"/>
        <w:szCs w:val="20"/>
      </w:rPr>
      <w:instrText xml:space="preserve">   \* MERGEFORMAT </w:instrText>
    </w:r>
    <w:r w:rsidRPr="003D299C">
      <w:rPr>
        <w:sz w:val="20"/>
        <w:szCs w:val="20"/>
      </w:rPr>
      <w:fldChar w:fldCharType="separate"/>
    </w:r>
    <w:r w:rsidR="00566B32">
      <w:rPr>
        <w:noProof/>
        <w:sz w:val="20"/>
        <w:szCs w:val="20"/>
      </w:rPr>
      <w:t>2</w:t>
    </w:r>
    <w:r w:rsidRPr="003D299C">
      <w:rPr>
        <w:sz w:val="20"/>
        <w:szCs w:val="20"/>
      </w:rPr>
      <w:fldChar w:fldCharType="end"/>
    </w:r>
  </w:p>
  <w:p w:rsidR="000D27BD" w:rsidRDefault="000D2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C09"/>
    <w:multiLevelType w:val="hybridMultilevel"/>
    <w:tmpl w:val="4F8AF2BC"/>
    <w:lvl w:ilvl="0" w:tplc="BEFE86F6">
      <w:start w:val="2"/>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BEFE86F6">
      <w:start w:val="2"/>
      <w:numFmt w:val="bullet"/>
      <w:lvlText w:val="-"/>
      <w:lvlJc w:val="left"/>
      <w:pPr>
        <w:ind w:left="4680" w:hanging="360"/>
      </w:pPr>
      <w:rPr>
        <w:rFonts w:ascii="Arial" w:eastAsia="Times New Roman" w:hAnsi="Arial"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B2C17"/>
    <w:multiLevelType w:val="hybridMultilevel"/>
    <w:tmpl w:val="9836FED2"/>
    <w:lvl w:ilvl="0" w:tplc="43A0E184">
      <w:start w:val="1"/>
      <w:numFmt w:val="lowerLetter"/>
      <w:lvlText w:val="%1."/>
      <w:lvlJc w:val="left"/>
      <w:pPr>
        <w:ind w:left="360" w:hanging="360"/>
      </w:pPr>
      <w:rPr>
        <w:cap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674CF"/>
    <w:multiLevelType w:val="hybridMultilevel"/>
    <w:tmpl w:val="03DA301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8E6D06"/>
    <w:multiLevelType w:val="hybridMultilevel"/>
    <w:tmpl w:val="2AF086BC"/>
    <w:lvl w:ilvl="0" w:tplc="72B61182">
      <w:start w:val="5"/>
      <w:numFmt w:val="bullet"/>
      <w:lvlText w:val="-"/>
      <w:lvlJc w:val="left"/>
      <w:pPr>
        <w:ind w:left="720" w:hanging="360"/>
      </w:pPr>
      <w:rPr>
        <w:rFonts w:ascii="Arial" w:eastAsia="Times New Roman" w:hAnsi="Arial" w:cs="Wingdings" w:hint="default"/>
        <w:b/>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61AC1"/>
    <w:multiLevelType w:val="hybridMultilevel"/>
    <w:tmpl w:val="87B246C4"/>
    <w:lvl w:ilvl="0" w:tplc="408CCCBE">
      <w:start w:val="1"/>
      <w:numFmt w:val="decimal"/>
      <w:lvlText w:val="%1."/>
      <w:lvlJc w:val="left"/>
      <w:pPr>
        <w:tabs>
          <w:tab w:val="num" w:pos="540"/>
        </w:tabs>
        <w:ind w:left="540" w:hanging="360"/>
      </w:pPr>
      <w:rPr>
        <w:rFonts w:hint="default"/>
        <w:b w:val="0"/>
        <w:i w:val="0"/>
        <w:color w:val="auto"/>
        <w:sz w:val="24"/>
        <w:szCs w:val="24"/>
      </w:rPr>
    </w:lvl>
    <w:lvl w:ilvl="1" w:tplc="BEFE86F6">
      <w:start w:val="2"/>
      <w:numFmt w:val="bullet"/>
      <w:lvlText w:val="-"/>
      <w:lvlJc w:val="left"/>
      <w:pPr>
        <w:tabs>
          <w:tab w:val="num" w:pos="1440"/>
        </w:tabs>
        <w:ind w:left="1440" w:hanging="360"/>
      </w:pPr>
      <w:rPr>
        <w:rFonts w:ascii="Arial" w:eastAsia="Times New Roman" w:hAnsi="Arial"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D08C7"/>
    <w:multiLevelType w:val="hybridMultilevel"/>
    <w:tmpl w:val="60B808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73578"/>
    <w:multiLevelType w:val="hybridMultilevel"/>
    <w:tmpl w:val="29E80A2C"/>
    <w:lvl w:ilvl="0" w:tplc="B644EE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4F7F37"/>
    <w:multiLevelType w:val="hybridMultilevel"/>
    <w:tmpl w:val="B0AE8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590FD1"/>
    <w:multiLevelType w:val="hybridMultilevel"/>
    <w:tmpl w:val="41FE40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B4D2F2F"/>
    <w:multiLevelType w:val="hybridMultilevel"/>
    <w:tmpl w:val="11008A12"/>
    <w:lvl w:ilvl="0" w:tplc="431CF806">
      <w:start w:val="1"/>
      <w:numFmt w:val="decimal"/>
      <w:lvlText w:val="%1."/>
      <w:lvlJc w:val="left"/>
      <w:pPr>
        <w:tabs>
          <w:tab w:val="num" w:pos="360"/>
        </w:tabs>
        <w:ind w:left="360" w:hanging="360"/>
      </w:pPr>
      <w:rPr>
        <w:rFonts w:hint="default"/>
        <w:sz w:val="22"/>
        <w:szCs w:val="22"/>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36409AB2">
      <w:start w:val="29"/>
      <w:numFmt w:val="bullet"/>
      <w:lvlText w:val="-"/>
      <w:lvlJc w:val="left"/>
      <w:pPr>
        <w:ind w:left="2340" w:hanging="360"/>
      </w:pPr>
      <w:rPr>
        <w:rFonts w:ascii="Times New Roman" w:eastAsia="Times New Roman" w:hAnsi="Times New Roman" w:cs="Times New Roman" w:hint="default"/>
      </w:r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2">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135C0E"/>
    <w:multiLevelType w:val="hybridMultilevel"/>
    <w:tmpl w:val="D3D2D090"/>
    <w:lvl w:ilvl="0" w:tplc="9A50851E">
      <w:start w:val="91"/>
      <w:numFmt w:val="decimal"/>
      <w:lvlText w:val="%1."/>
      <w:lvlJc w:val="left"/>
      <w:pPr>
        <w:tabs>
          <w:tab w:val="num" w:pos="0"/>
        </w:tabs>
        <w:ind w:left="450" w:hanging="360"/>
      </w:pPr>
      <w:rPr>
        <w:rFonts w:cs="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BBB057F"/>
    <w:multiLevelType w:val="hybridMultilevel"/>
    <w:tmpl w:val="522A9B86"/>
    <w:lvl w:ilvl="0" w:tplc="D3AE333E">
      <w:start w:val="1"/>
      <w:numFmt w:val="decimal"/>
      <w:lvlText w:val="%1."/>
      <w:lvlJc w:val="left"/>
      <w:pPr>
        <w:tabs>
          <w:tab w:val="num" w:pos="360"/>
        </w:tabs>
        <w:ind w:left="360" w:hanging="360"/>
      </w:pPr>
      <w:rPr>
        <w:rFonts w:hint="default"/>
        <w:b w:val="0"/>
        <w:i w:val="0"/>
        <w:color w:val="auto"/>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6">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7"/>
  </w:num>
  <w:num w:numId="5">
    <w:abstractNumId w:val="25"/>
  </w:num>
  <w:num w:numId="6">
    <w:abstractNumId w:val="12"/>
  </w:num>
  <w:num w:numId="7">
    <w:abstractNumId w:val="11"/>
  </w:num>
  <w:num w:numId="8">
    <w:abstractNumId w:val="23"/>
  </w:num>
  <w:num w:numId="9">
    <w:abstractNumId w:val="2"/>
  </w:num>
  <w:num w:numId="10">
    <w:abstractNumId w:val="16"/>
  </w:num>
  <w:num w:numId="11">
    <w:abstractNumId w:val="13"/>
  </w:num>
  <w:num w:numId="12">
    <w:abstractNumId w:val="3"/>
  </w:num>
  <w:num w:numId="13">
    <w:abstractNumId w:val="8"/>
  </w:num>
  <w:num w:numId="14">
    <w:abstractNumId w:val="17"/>
  </w:num>
  <w:num w:numId="15">
    <w:abstractNumId w:val="15"/>
  </w:num>
  <w:num w:numId="16">
    <w:abstractNumId w:val="21"/>
  </w:num>
  <w:num w:numId="17">
    <w:abstractNumId w:val="10"/>
  </w:num>
  <w:num w:numId="18">
    <w:abstractNumId w:val="9"/>
  </w:num>
  <w:num w:numId="19">
    <w:abstractNumId w:val="18"/>
  </w:num>
  <w:num w:numId="20">
    <w:abstractNumId w:val="1"/>
  </w:num>
  <w:num w:numId="21">
    <w:abstractNumId w:val="19"/>
  </w:num>
  <w:num w:numId="22">
    <w:abstractNumId w:val="0"/>
  </w:num>
  <w:num w:numId="23">
    <w:abstractNumId w:val="14"/>
  </w:num>
  <w:num w:numId="24">
    <w:abstractNumId w:val="22"/>
  </w:num>
  <w:num w:numId="25">
    <w:abstractNumId w:val="5"/>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1097"/>
    <w:rsid w:val="00003666"/>
    <w:rsid w:val="000112EC"/>
    <w:rsid w:val="00035642"/>
    <w:rsid w:val="000701B7"/>
    <w:rsid w:val="000956A6"/>
    <w:rsid w:val="00097E81"/>
    <w:rsid w:val="000D27BD"/>
    <w:rsid w:val="000E38E9"/>
    <w:rsid w:val="00113E6D"/>
    <w:rsid w:val="00114B0D"/>
    <w:rsid w:val="00171B41"/>
    <w:rsid w:val="001947AB"/>
    <w:rsid w:val="001A0108"/>
    <w:rsid w:val="001A1613"/>
    <w:rsid w:val="001E6648"/>
    <w:rsid w:val="001F715B"/>
    <w:rsid w:val="00214CE4"/>
    <w:rsid w:val="00262B44"/>
    <w:rsid w:val="00295279"/>
    <w:rsid w:val="00306D7D"/>
    <w:rsid w:val="0031007B"/>
    <w:rsid w:val="00391DAC"/>
    <w:rsid w:val="003A735E"/>
    <w:rsid w:val="003F3065"/>
    <w:rsid w:val="0048726D"/>
    <w:rsid w:val="00490975"/>
    <w:rsid w:val="004937AD"/>
    <w:rsid w:val="004D2F65"/>
    <w:rsid w:val="004E2C58"/>
    <w:rsid w:val="004E4253"/>
    <w:rsid w:val="004F6CCA"/>
    <w:rsid w:val="00500EE5"/>
    <w:rsid w:val="00566B32"/>
    <w:rsid w:val="00582439"/>
    <w:rsid w:val="0059505F"/>
    <w:rsid w:val="005D62FA"/>
    <w:rsid w:val="006172D8"/>
    <w:rsid w:val="00637BA7"/>
    <w:rsid w:val="0065501D"/>
    <w:rsid w:val="00661E8F"/>
    <w:rsid w:val="00680733"/>
    <w:rsid w:val="006D4646"/>
    <w:rsid w:val="00726DFF"/>
    <w:rsid w:val="007B0E6E"/>
    <w:rsid w:val="007B24BA"/>
    <w:rsid w:val="007C6B39"/>
    <w:rsid w:val="007D6B58"/>
    <w:rsid w:val="008126F2"/>
    <w:rsid w:val="00863FCB"/>
    <w:rsid w:val="00865ED8"/>
    <w:rsid w:val="00895CBE"/>
    <w:rsid w:val="008A7DC0"/>
    <w:rsid w:val="008B53E9"/>
    <w:rsid w:val="008F2178"/>
    <w:rsid w:val="00962772"/>
    <w:rsid w:val="0097413D"/>
    <w:rsid w:val="009A5F4E"/>
    <w:rsid w:val="009E0E29"/>
    <w:rsid w:val="009F597B"/>
    <w:rsid w:val="00A25DE4"/>
    <w:rsid w:val="00A51AE5"/>
    <w:rsid w:val="00A96C63"/>
    <w:rsid w:val="00B268C3"/>
    <w:rsid w:val="00B86EFF"/>
    <w:rsid w:val="00C33D02"/>
    <w:rsid w:val="00C4703D"/>
    <w:rsid w:val="00C71512"/>
    <w:rsid w:val="00D62189"/>
    <w:rsid w:val="00D8767F"/>
    <w:rsid w:val="00DA10CD"/>
    <w:rsid w:val="00DE4770"/>
    <w:rsid w:val="00DF188A"/>
    <w:rsid w:val="00DF68DA"/>
    <w:rsid w:val="00E2622E"/>
    <w:rsid w:val="00E27185"/>
    <w:rsid w:val="00E508EB"/>
    <w:rsid w:val="00E57085"/>
    <w:rsid w:val="00E86A9C"/>
    <w:rsid w:val="00EA43BD"/>
    <w:rsid w:val="00EE1A3C"/>
    <w:rsid w:val="00EE5E0E"/>
    <w:rsid w:val="00F27DF1"/>
    <w:rsid w:val="00F75BE2"/>
    <w:rsid w:val="00F963CB"/>
    <w:rsid w:val="00FC789E"/>
    <w:rsid w:val="00FD694B"/>
    <w:rsid w:val="00FF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25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MediumGrid1-Accent21">
    <w:name w:val="Medium Grid 1 - Accent 2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customStyle="1" w:styleId="FootnoteTextChar">
    <w:name w:val="Footnote Text Char"/>
    <w:link w:val="FootnoteText"/>
    <w:uiPriority w:val="99"/>
    <w:semiHidden/>
    <w:locked/>
    <w:rsid w:val="002E09B5"/>
    <w:rPr>
      <w:rFonts w:ascii="Palatino" w:hAnsi="Palatino"/>
      <w:snapToGrid w:val="0"/>
      <w:sz w:val="24"/>
      <w:lang w:val="en-GB"/>
    </w:rPr>
  </w:style>
  <w:style w:type="character" w:customStyle="1" w:styleId="sb8d990e2">
    <w:name w:val="sb8d990e2"/>
    <w:basedOn w:val="DefaultParagraphFont"/>
    <w:rsid w:val="002E09B5"/>
  </w:style>
  <w:style w:type="character" w:styleId="CommentReference">
    <w:name w:val="annotation reference"/>
    <w:rsid w:val="002E09B5"/>
    <w:rPr>
      <w:sz w:val="16"/>
      <w:szCs w:val="16"/>
    </w:rPr>
  </w:style>
  <w:style w:type="paragraph" w:styleId="CommentText">
    <w:name w:val="annotation text"/>
    <w:basedOn w:val="Normal"/>
    <w:link w:val="CommentTextChar"/>
    <w:rsid w:val="002E09B5"/>
    <w:rPr>
      <w:sz w:val="20"/>
      <w:szCs w:val="20"/>
    </w:rPr>
  </w:style>
  <w:style w:type="character" w:customStyle="1" w:styleId="CommentTextChar">
    <w:name w:val="Comment Text Char"/>
    <w:basedOn w:val="DefaultParagraphFont"/>
    <w:link w:val="CommentText"/>
    <w:rsid w:val="002E09B5"/>
  </w:style>
  <w:style w:type="character" w:customStyle="1" w:styleId="s85f22697">
    <w:name w:val="s85f22697"/>
    <w:basedOn w:val="DefaultParagraphFont"/>
    <w:rsid w:val="002E09B5"/>
  </w:style>
  <w:style w:type="character" w:customStyle="1" w:styleId="s6b621b36">
    <w:name w:val="s6b621b36"/>
    <w:basedOn w:val="DefaultParagraphFont"/>
    <w:rsid w:val="001D5D9B"/>
  </w:style>
  <w:style w:type="character" w:customStyle="1" w:styleId="wordhighlighted">
    <w:name w:val="wordhighlighted"/>
    <w:basedOn w:val="DefaultParagraphFont"/>
    <w:rsid w:val="001D5D9B"/>
  </w:style>
  <w:style w:type="character" w:customStyle="1" w:styleId="column01">
    <w:name w:val="column01"/>
    <w:basedOn w:val="DefaultParagraphFont"/>
    <w:rsid w:val="001D5D9B"/>
  </w:style>
  <w:style w:type="paragraph" w:customStyle="1" w:styleId="Normal1">
    <w:name w:val="Normal1"/>
    <w:basedOn w:val="Normal"/>
    <w:rsid w:val="001B7719"/>
    <w:pPr>
      <w:spacing w:before="100" w:beforeAutospacing="1" w:after="100" w:afterAutospacing="1"/>
    </w:pPr>
  </w:style>
  <w:style w:type="paragraph" w:styleId="CommentSubject">
    <w:name w:val="annotation subject"/>
    <w:basedOn w:val="CommentText"/>
    <w:next w:val="CommentText"/>
    <w:link w:val="CommentSubjectChar"/>
    <w:rsid w:val="004D75F5"/>
    <w:rPr>
      <w:b/>
      <w:bCs/>
    </w:rPr>
  </w:style>
  <w:style w:type="character" w:customStyle="1" w:styleId="CommentSubjectChar">
    <w:name w:val="Comment Subject Char"/>
    <w:link w:val="CommentSubject"/>
    <w:rsid w:val="004D75F5"/>
    <w:rPr>
      <w:b/>
      <w:bCs/>
    </w:rPr>
  </w:style>
  <w:style w:type="character" w:customStyle="1" w:styleId="s7d2086b4">
    <w:name w:val="s7d2086b4"/>
    <w:basedOn w:val="DefaultParagraphFont"/>
    <w:rsid w:val="007C0DFE"/>
  </w:style>
  <w:style w:type="paragraph" w:customStyle="1" w:styleId="s30eec3f8">
    <w:name w:val="s30eec3f8"/>
    <w:basedOn w:val="Normal"/>
    <w:rsid w:val="00857306"/>
    <w:pPr>
      <w:spacing w:before="100" w:beforeAutospacing="1" w:after="100" w:afterAutospacing="1"/>
    </w:pPr>
  </w:style>
  <w:style w:type="character" w:customStyle="1" w:styleId="HeaderChar">
    <w:name w:val="Header Char"/>
    <w:link w:val="Header"/>
    <w:uiPriority w:val="99"/>
    <w:rsid w:val="003D299C"/>
    <w:rPr>
      <w:sz w:val="24"/>
      <w:szCs w:val="24"/>
    </w:rPr>
  </w:style>
  <w:style w:type="paragraph" w:customStyle="1" w:styleId="ListParagraph1">
    <w:name w:val="List Paragraph1"/>
    <w:basedOn w:val="Normal"/>
    <w:rsid w:val="007B4249"/>
    <w:pPr>
      <w:ind w:left="720"/>
      <w:contextualSpacing/>
    </w:pPr>
    <w:rPr>
      <w:lang w:val="en-GB" w:eastAsia="en-GB"/>
    </w:rPr>
  </w:style>
  <w:style w:type="paragraph" w:styleId="ListParagraph">
    <w:name w:val="List Paragraph"/>
    <w:basedOn w:val="Normal"/>
    <w:uiPriority w:val="99"/>
    <w:qFormat/>
    <w:rsid w:val="009A5F4E"/>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470442">
      <w:bodyDiv w:val="1"/>
      <w:marLeft w:val="0"/>
      <w:marRight w:val="0"/>
      <w:marTop w:val="0"/>
      <w:marBottom w:val="0"/>
      <w:divBdr>
        <w:top w:val="none" w:sz="0" w:space="0" w:color="auto"/>
        <w:left w:val="none" w:sz="0" w:space="0" w:color="auto"/>
        <w:bottom w:val="none" w:sz="0" w:space="0" w:color="auto"/>
        <w:right w:val="none" w:sz="0" w:space="0" w:color="auto"/>
      </w:divBdr>
      <w:divsChild>
        <w:div w:id="209921781">
          <w:marLeft w:val="0"/>
          <w:marRight w:val="0"/>
          <w:marTop w:val="0"/>
          <w:marBottom w:val="0"/>
          <w:divBdr>
            <w:top w:val="none" w:sz="0" w:space="0" w:color="auto"/>
            <w:left w:val="none" w:sz="0" w:space="0" w:color="auto"/>
            <w:bottom w:val="none" w:sz="0" w:space="0" w:color="auto"/>
            <w:right w:val="none" w:sz="0" w:space="0" w:color="auto"/>
          </w:divBdr>
          <w:divsChild>
            <w:div w:id="59600784">
              <w:marLeft w:val="0"/>
              <w:marRight w:val="0"/>
              <w:marTop w:val="0"/>
              <w:marBottom w:val="0"/>
              <w:divBdr>
                <w:top w:val="none" w:sz="0" w:space="0" w:color="auto"/>
                <w:left w:val="none" w:sz="0" w:space="0" w:color="auto"/>
                <w:bottom w:val="none" w:sz="0" w:space="0" w:color="auto"/>
                <w:right w:val="none" w:sz="0" w:space="0" w:color="auto"/>
              </w:divBdr>
              <w:divsChild>
                <w:div w:id="667753821">
                  <w:marLeft w:val="0"/>
                  <w:marRight w:val="0"/>
                  <w:marTop w:val="0"/>
                  <w:marBottom w:val="0"/>
                  <w:divBdr>
                    <w:top w:val="none" w:sz="0" w:space="0" w:color="auto"/>
                    <w:left w:val="none" w:sz="0" w:space="0" w:color="auto"/>
                    <w:bottom w:val="none" w:sz="0" w:space="0" w:color="auto"/>
                    <w:right w:val="none" w:sz="0" w:space="0" w:color="auto"/>
                  </w:divBdr>
                  <w:divsChild>
                    <w:div w:id="1950352395">
                      <w:marLeft w:val="0"/>
                      <w:marRight w:val="0"/>
                      <w:marTop w:val="0"/>
                      <w:marBottom w:val="0"/>
                      <w:divBdr>
                        <w:top w:val="none" w:sz="0" w:space="0" w:color="auto"/>
                        <w:left w:val="none" w:sz="0" w:space="0" w:color="auto"/>
                        <w:bottom w:val="none" w:sz="0" w:space="0" w:color="auto"/>
                        <w:right w:val="none" w:sz="0" w:space="0" w:color="auto"/>
                      </w:divBdr>
                      <w:divsChild>
                        <w:div w:id="967274894">
                          <w:marLeft w:val="0"/>
                          <w:marRight w:val="0"/>
                          <w:marTop w:val="0"/>
                          <w:marBottom w:val="0"/>
                          <w:divBdr>
                            <w:top w:val="none" w:sz="0" w:space="0" w:color="auto"/>
                            <w:left w:val="none" w:sz="0" w:space="0" w:color="auto"/>
                            <w:bottom w:val="none" w:sz="0" w:space="0" w:color="auto"/>
                            <w:right w:val="none" w:sz="0" w:space="0" w:color="auto"/>
                          </w:divBdr>
                          <w:divsChild>
                            <w:div w:id="6218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138516">
      <w:bodyDiv w:val="1"/>
      <w:marLeft w:val="0"/>
      <w:marRight w:val="0"/>
      <w:marTop w:val="0"/>
      <w:marBottom w:val="0"/>
      <w:divBdr>
        <w:top w:val="none" w:sz="0" w:space="0" w:color="auto"/>
        <w:left w:val="none" w:sz="0" w:space="0" w:color="auto"/>
        <w:bottom w:val="none" w:sz="0" w:space="0" w:color="auto"/>
        <w:right w:val="none" w:sz="0" w:space="0" w:color="auto"/>
      </w:divBdr>
      <w:divsChild>
        <w:div w:id="866873833">
          <w:marLeft w:val="0"/>
          <w:marRight w:val="0"/>
          <w:marTop w:val="0"/>
          <w:marBottom w:val="0"/>
          <w:divBdr>
            <w:top w:val="none" w:sz="0" w:space="0" w:color="auto"/>
            <w:left w:val="none" w:sz="0" w:space="0" w:color="auto"/>
            <w:bottom w:val="none" w:sz="0" w:space="0" w:color="auto"/>
            <w:right w:val="none" w:sz="0" w:space="0" w:color="auto"/>
          </w:divBdr>
          <w:divsChild>
            <w:div w:id="1496990129">
              <w:marLeft w:val="0"/>
              <w:marRight w:val="0"/>
              <w:marTop w:val="0"/>
              <w:marBottom w:val="0"/>
              <w:divBdr>
                <w:top w:val="none" w:sz="0" w:space="0" w:color="auto"/>
                <w:left w:val="none" w:sz="0" w:space="0" w:color="auto"/>
                <w:bottom w:val="none" w:sz="0" w:space="0" w:color="auto"/>
                <w:right w:val="none" w:sz="0" w:space="0" w:color="auto"/>
              </w:divBdr>
              <w:divsChild>
                <w:div w:id="1422019738">
                  <w:marLeft w:val="0"/>
                  <w:marRight w:val="0"/>
                  <w:marTop w:val="0"/>
                  <w:marBottom w:val="0"/>
                  <w:divBdr>
                    <w:top w:val="none" w:sz="0" w:space="0" w:color="auto"/>
                    <w:left w:val="none" w:sz="0" w:space="0" w:color="auto"/>
                    <w:bottom w:val="none" w:sz="0" w:space="0" w:color="auto"/>
                    <w:right w:val="none" w:sz="0" w:space="0" w:color="auto"/>
                  </w:divBdr>
                  <w:divsChild>
                    <w:div w:id="885606978">
                      <w:marLeft w:val="0"/>
                      <w:marRight w:val="0"/>
                      <w:marTop w:val="0"/>
                      <w:marBottom w:val="0"/>
                      <w:divBdr>
                        <w:top w:val="none" w:sz="0" w:space="0" w:color="auto"/>
                        <w:left w:val="none" w:sz="0" w:space="0" w:color="auto"/>
                        <w:bottom w:val="none" w:sz="0" w:space="0" w:color="auto"/>
                        <w:right w:val="none" w:sz="0" w:space="0" w:color="auto"/>
                      </w:divBdr>
                      <w:divsChild>
                        <w:div w:id="1653749341">
                          <w:marLeft w:val="0"/>
                          <w:marRight w:val="0"/>
                          <w:marTop w:val="0"/>
                          <w:marBottom w:val="0"/>
                          <w:divBdr>
                            <w:top w:val="none" w:sz="0" w:space="0" w:color="auto"/>
                            <w:left w:val="none" w:sz="0" w:space="0" w:color="auto"/>
                            <w:bottom w:val="none" w:sz="0" w:space="0" w:color="auto"/>
                            <w:right w:val="none" w:sz="0" w:space="0" w:color="auto"/>
                          </w:divBdr>
                          <w:divsChild>
                            <w:div w:id="7830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721657">
      <w:bodyDiv w:val="1"/>
      <w:marLeft w:val="0"/>
      <w:marRight w:val="0"/>
      <w:marTop w:val="0"/>
      <w:marBottom w:val="0"/>
      <w:divBdr>
        <w:top w:val="none" w:sz="0" w:space="0" w:color="auto"/>
        <w:left w:val="none" w:sz="0" w:space="0" w:color="auto"/>
        <w:bottom w:val="none" w:sz="0" w:space="0" w:color="auto"/>
        <w:right w:val="none" w:sz="0" w:space="0" w:color="auto"/>
      </w:divBdr>
      <w:divsChild>
        <w:div w:id="403534633">
          <w:marLeft w:val="0"/>
          <w:marRight w:val="0"/>
          <w:marTop w:val="0"/>
          <w:marBottom w:val="0"/>
          <w:divBdr>
            <w:top w:val="none" w:sz="0" w:space="0" w:color="auto"/>
            <w:left w:val="none" w:sz="0" w:space="0" w:color="auto"/>
            <w:bottom w:val="none" w:sz="0" w:space="0" w:color="auto"/>
            <w:right w:val="none" w:sz="0" w:space="0" w:color="auto"/>
          </w:divBdr>
          <w:divsChild>
            <w:div w:id="1763381256">
              <w:marLeft w:val="0"/>
              <w:marRight w:val="0"/>
              <w:marTop w:val="0"/>
              <w:marBottom w:val="0"/>
              <w:divBdr>
                <w:top w:val="none" w:sz="0" w:space="0" w:color="auto"/>
                <w:left w:val="none" w:sz="0" w:space="0" w:color="auto"/>
                <w:bottom w:val="none" w:sz="0" w:space="0" w:color="auto"/>
                <w:right w:val="none" w:sz="0" w:space="0" w:color="auto"/>
              </w:divBdr>
              <w:divsChild>
                <w:div w:id="1489177336">
                  <w:marLeft w:val="0"/>
                  <w:marRight w:val="0"/>
                  <w:marTop w:val="0"/>
                  <w:marBottom w:val="0"/>
                  <w:divBdr>
                    <w:top w:val="none" w:sz="0" w:space="0" w:color="auto"/>
                    <w:left w:val="none" w:sz="0" w:space="0" w:color="auto"/>
                    <w:bottom w:val="none" w:sz="0" w:space="0" w:color="auto"/>
                    <w:right w:val="none" w:sz="0" w:space="0" w:color="auto"/>
                  </w:divBdr>
                  <w:divsChild>
                    <w:div w:id="2084450530">
                      <w:marLeft w:val="0"/>
                      <w:marRight w:val="0"/>
                      <w:marTop w:val="0"/>
                      <w:marBottom w:val="0"/>
                      <w:divBdr>
                        <w:top w:val="none" w:sz="0" w:space="0" w:color="auto"/>
                        <w:left w:val="none" w:sz="0" w:space="0" w:color="auto"/>
                        <w:bottom w:val="none" w:sz="0" w:space="0" w:color="auto"/>
                        <w:right w:val="none" w:sz="0" w:space="0" w:color="auto"/>
                      </w:divBdr>
                      <w:divsChild>
                        <w:div w:id="1520239900">
                          <w:marLeft w:val="0"/>
                          <w:marRight w:val="0"/>
                          <w:marTop w:val="0"/>
                          <w:marBottom w:val="0"/>
                          <w:divBdr>
                            <w:top w:val="none" w:sz="0" w:space="0" w:color="auto"/>
                            <w:left w:val="none" w:sz="0" w:space="0" w:color="auto"/>
                            <w:bottom w:val="none" w:sz="0" w:space="0" w:color="auto"/>
                            <w:right w:val="none" w:sz="0" w:space="0" w:color="auto"/>
                          </w:divBdr>
                          <w:divsChild>
                            <w:div w:id="17811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97431">
      <w:bodyDiv w:val="1"/>
      <w:marLeft w:val="0"/>
      <w:marRight w:val="0"/>
      <w:marTop w:val="0"/>
      <w:marBottom w:val="0"/>
      <w:divBdr>
        <w:top w:val="none" w:sz="0" w:space="0" w:color="auto"/>
        <w:left w:val="none" w:sz="0" w:space="0" w:color="auto"/>
        <w:bottom w:val="none" w:sz="0" w:space="0" w:color="auto"/>
        <w:right w:val="none" w:sz="0" w:space="0" w:color="auto"/>
      </w:divBdr>
      <w:divsChild>
        <w:div w:id="401296657">
          <w:marLeft w:val="0"/>
          <w:marRight w:val="0"/>
          <w:marTop w:val="0"/>
          <w:marBottom w:val="0"/>
          <w:divBdr>
            <w:top w:val="none" w:sz="0" w:space="0" w:color="auto"/>
            <w:left w:val="none" w:sz="0" w:space="0" w:color="auto"/>
            <w:bottom w:val="none" w:sz="0" w:space="0" w:color="auto"/>
            <w:right w:val="none" w:sz="0" w:space="0" w:color="auto"/>
          </w:divBdr>
          <w:divsChild>
            <w:div w:id="2043432239">
              <w:marLeft w:val="0"/>
              <w:marRight w:val="0"/>
              <w:marTop w:val="0"/>
              <w:marBottom w:val="0"/>
              <w:divBdr>
                <w:top w:val="none" w:sz="0" w:space="0" w:color="auto"/>
                <w:left w:val="none" w:sz="0" w:space="0" w:color="auto"/>
                <w:bottom w:val="none" w:sz="0" w:space="0" w:color="auto"/>
                <w:right w:val="none" w:sz="0" w:space="0" w:color="auto"/>
              </w:divBdr>
              <w:divsChild>
                <w:div w:id="1445031283">
                  <w:marLeft w:val="0"/>
                  <w:marRight w:val="0"/>
                  <w:marTop w:val="0"/>
                  <w:marBottom w:val="0"/>
                  <w:divBdr>
                    <w:top w:val="none" w:sz="0" w:space="0" w:color="auto"/>
                    <w:left w:val="none" w:sz="0" w:space="0" w:color="auto"/>
                    <w:bottom w:val="none" w:sz="0" w:space="0" w:color="auto"/>
                    <w:right w:val="none" w:sz="0" w:space="0" w:color="auto"/>
                  </w:divBdr>
                  <w:divsChild>
                    <w:div w:id="1238244993">
                      <w:marLeft w:val="0"/>
                      <w:marRight w:val="0"/>
                      <w:marTop w:val="0"/>
                      <w:marBottom w:val="0"/>
                      <w:divBdr>
                        <w:top w:val="none" w:sz="0" w:space="0" w:color="auto"/>
                        <w:left w:val="none" w:sz="0" w:space="0" w:color="auto"/>
                        <w:bottom w:val="none" w:sz="0" w:space="0" w:color="auto"/>
                        <w:right w:val="none" w:sz="0" w:space="0" w:color="auto"/>
                      </w:divBdr>
                      <w:divsChild>
                        <w:div w:id="1482650140">
                          <w:marLeft w:val="0"/>
                          <w:marRight w:val="0"/>
                          <w:marTop w:val="0"/>
                          <w:marBottom w:val="0"/>
                          <w:divBdr>
                            <w:top w:val="none" w:sz="0" w:space="0" w:color="auto"/>
                            <w:left w:val="none" w:sz="0" w:space="0" w:color="auto"/>
                            <w:bottom w:val="none" w:sz="0" w:space="0" w:color="auto"/>
                            <w:right w:val="none" w:sz="0" w:space="0" w:color="auto"/>
                          </w:divBdr>
                          <w:divsChild>
                            <w:div w:id="14986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032238">
      <w:bodyDiv w:val="1"/>
      <w:marLeft w:val="0"/>
      <w:marRight w:val="0"/>
      <w:marTop w:val="0"/>
      <w:marBottom w:val="0"/>
      <w:divBdr>
        <w:top w:val="none" w:sz="0" w:space="0" w:color="auto"/>
        <w:left w:val="none" w:sz="0" w:space="0" w:color="auto"/>
        <w:bottom w:val="none" w:sz="0" w:space="0" w:color="auto"/>
        <w:right w:val="none" w:sz="0" w:space="0" w:color="auto"/>
      </w:divBdr>
      <w:divsChild>
        <w:div w:id="1657033852">
          <w:marLeft w:val="0"/>
          <w:marRight w:val="0"/>
          <w:marTop w:val="0"/>
          <w:marBottom w:val="0"/>
          <w:divBdr>
            <w:top w:val="none" w:sz="0" w:space="0" w:color="auto"/>
            <w:left w:val="none" w:sz="0" w:space="0" w:color="auto"/>
            <w:bottom w:val="none" w:sz="0" w:space="0" w:color="auto"/>
            <w:right w:val="none" w:sz="0" w:space="0" w:color="auto"/>
          </w:divBdr>
          <w:divsChild>
            <w:div w:id="409424047">
              <w:marLeft w:val="0"/>
              <w:marRight w:val="0"/>
              <w:marTop w:val="0"/>
              <w:marBottom w:val="0"/>
              <w:divBdr>
                <w:top w:val="none" w:sz="0" w:space="0" w:color="auto"/>
                <w:left w:val="none" w:sz="0" w:space="0" w:color="auto"/>
                <w:bottom w:val="none" w:sz="0" w:space="0" w:color="auto"/>
                <w:right w:val="none" w:sz="0" w:space="0" w:color="auto"/>
              </w:divBdr>
              <w:divsChild>
                <w:div w:id="259264437">
                  <w:marLeft w:val="0"/>
                  <w:marRight w:val="0"/>
                  <w:marTop w:val="0"/>
                  <w:marBottom w:val="0"/>
                  <w:divBdr>
                    <w:top w:val="none" w:sz="0" w:space="0" w:color="auto"/>
                    <w:left w:val="none" w:sz="0" w:space="0" w:color="auto"/>
                    <w:bottom w:val="none" w:sz="0" w:space="0" w:color="auto"/>
                    <w:right w:val="none" w:sz="0" w:space="0" w:color="auto"/>
                  </w:divBdr>
                  <w:divsChild>
                    <w:div w:id="1987978246">
                      <w:marLeft w:val="0"/>
                      <w:marRight w:val="0"/>
                      <w:marTop w:val="0"/>
                      <w:marBottom w:val="0"/>
                      <w:divBdr>
                        <w:top w:val="none" w:sz="0" w:space="0" w:color="auto"/>
                        <w:left w:val="none" w:sz="0" w:space="0" w:color="auto"/>
                        <w:bottom w:val="none" w:sz="0" w:space="0" w:color="auto"/>
                        <w:right w:val="none" w:sz="0" w:space="0" w:color="auto"/>
                      </w:divBdr>
                      <w:divsChild>
                        <w:div w:id="980306562">
                          <w:marLeft w:val="0"/>
                          <w:marRight w:val="0"/>
                          <w:marTop w:val="0"/>
                          <w:marBottom w:val="0"/>
                          <w:divBdr>
                            <w:top w:val="none" w:sz="0" w:space="0" w:color="auto"/>
                            <w:left w:val="none" w:sz="0" w:space="0" w:color="auto"/>
                            <w:bottom w:val="none" w:sz="0" w:space="0" w:color="auto"/>
                            <w:right w:val="none" w:sz="0" w:space="0" w:color="auto"/>
                          </w:divBdr>
                          <w:divsChild>
                            <w:div w:id="15078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765911">
      <w:bodyDiv w:val="1"/>
      <w:marLeft w:val="0"/>
      <w:marRight w:val="0"/>
      <w:marTop w:val="0"/>
      <w:marBottom w:val="0"/>
      <w:divBdr>
        <w:top w:val="none" w:sz="0" w:space="0" w:color="auto"/>
        <w:left w:val="none" w:sz="0" w:space="0" w:color="auto"/>
        <w:bottom w:val="none" w:sz="0" w:space="0" w:color="auto"/>
        <w:right w:val="none" w:sz="0" w:space="0" w:color="auto"/>
      </w:divBdr>
      <w:divsChild>
        <w:div w:id="278731046">
          <w:marLeft w:val="0"/>
          <w:marRight w:val="0"/>
          <w:marTop w:val="0"/>
          <w:marBottom w:val="0"/>
          <w:divBdr>
            <w:top w:val="none" w:sz="0" w:space="0" w:color="auto"/>
            <w:left w:val="none" w:sz="0" w:space="0" w:color="auto"/>
            <w:bottom w:val="none" w:sz="0" w:space="0" w:color="auto"/>
            <w:right w:val="none" w:sz="0" w:space="0" w:color="auto"/>
          </w:divBdr>
          <w:divsChild>
            <w:div w:id="385107680">
              <w:marLeft w:val="0"/>
              <w:marRight w:val="0"/>
              <w:marTop w:val="0"/>
              <w:marBottom w:val="0"/>
              <w:divBdr>
                <w:top w:val="none" w:sz="0" w:space="0" w:color="auto"/>
                <w:left w:val="none" w:sz="0" w:space="0" w:color="auto"/>
                <w:bottom w:val="none" w:sz="0" w:space="0" w:color="auto"/>
                <w:right w:val="none" w:sz="0" w:space="0" w:color="auto"/>
              </w:divBdr>
              <w:divsChild>
                <w:div w:id="1933778329">
                  <w:marLeft w:val="0"/>
                  <w:marRight w:val="0"/>
                  <w:marTop w:val="0"/>
                  <w:marBottom w:val="0"/>
                  <w:divBdr>
                    <w:top w:val="none" w:sz="0" w:space="0" w:color="auto"/>
                    <w:left w:val="none" w:sz="0" w:space="0" w:color="auto"/>
                    <w:bottom w:val="none" w:sz="0" w:space="0" w:color="auto"/>
                    <w:right w:val="none" w:sz="0" w:space="0" w:color="auto"/>
                  </w:divBdr>
                  <w:divsChild>
                    <w:div w:id="1469862197">
                      <w:marLeft w:val="0"/>
                      <w:marRight w:val="0"/>
                      <w:marTop w:val="0"/>
                      <w:marBottom w:val="0"/>
                      <w:divBdr>
                        <w:top w:val="none" w:sz="0" w:space="0" w:color="auto"/>
                        <w:left w:val="none" w:sz="0" w:space="0" w:color="auto"/>
                        <w:bottom w:val="none" w:sz="0" w:space="0" w:color="auto"/>
                        <w:right w:val="none" w:sz="0" w:space="0" w:color="auto"/>
                      </w:divBdr>
                      <w:divsChild>
                        <w:div w:id="10180366">
                          <w:marLeft w:val="0"/>
                          <w:marRight w:val="0"/>
                          <w:marTop w:val="0"/>
                          <w:marBottom w:val="0"/>
                          <w:divBdr>
                            <w:top w:val="none" w:sz="0" w:space="0" w:color="auto"/>
                            <w:left w:val="none" w:sz="0" w:space="0" w:color="auto"/>
                            <w:bottom w:val="none" w:sz="0" w:space="0" w:color="auto"/>
                            <w:right w:val="none" w:sz="0" w:space="0" w:color="auto"/>
                          </w:divBdr>
                          <w:divsChild>
                            <w:div w:id="14793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41975093">
      <w:bodyDiv w:val="1"/>
      <w:marLeft w:val="0"/>
      <w:marRight w:val="0"/>
      <w:marTop w:val="0"/>
      <w:marBottom w:val="0"/>
      <w:divBdr>
        <w:top w:val="none" w:sz="0" w:space="0" w:color="auto"/>
        <w:left w:val="none" w:sz="0" w:space="0" w:color="auto"/>
        <w:bottom w:val="none" w:sz="0" w:space="0" w:color="auto"/>
        <w:right w:val="none" w:sz="0" w:space="0" w:color="auto"/>
      </w:divBdr>
      <w:divsChild>
        <w:div w:id="1289704874">
          <w:marLeft w:val="0"/>
          <w:marRight w:val="0"/>
          <w:marTop w:val="0"/>
          <w:marBottom w:val="0"/>
          <w:divBdr>
            <w:top w:val="none" w:sz="0" w:space="0" w:color="auto"/>
            <w:left w:val="none" w:sz="0" w:space="0" w:color="auto"/>
            <w:bottom w:val="none" w:sz="0" w:space="0" w:color="auto"/>
            <w:right w:val="none" w:sz="0" w:space="0" w:color="auto"/>
          </w:divBdr>
          <w:divsChild>
            <w:div w:id="949698543">
              <w:marLeft w:val="0"/>
              <w:marRight w:val="0"/>
              <w:marTop w:val="0"/>
              <w:marBottom w:val="0"/>
              <w:divBdr>
                <w:top w:val="none" w:sz="0" w:space="0" w:color="auto"/>
                <w:left w:val="none" w:sz="0" w:space="0" w:color="auto"/>
                <w:bottom w:val="none" w:sz="0" w:space="0" w:color="auto"/>
                <w:right w:val="none" w:sz="0" w:space="0" w:color="auto"/>
              </w:divBdr>
              <w:divsChild>
                <w:div w:id="1397432304">
                  <w:marLeft w:val="0"/>
                  <w:marRight w:val="0"/>
                  <w:marTop w:val="0"/>
                  <w:marBottom w:val="0"/>
                  <w:divBdr>
                    <w:top w:val="none" w:sz="0" w:space="0" w:color="auto"/>
                    <w:left w:val="none" w:sz="0" w:space="0" w:color="auto"/>
                    <w:bottom w:val="none" w:sz="0" w:space="0" w:color="auto"/>
                    <w:right w:val="none" w:sz="0" w:space="0" w:color="auto"/>
                  </w:divBdr>
                  <w:divsChild>
                    <w:div w:id="1351226738">
                      <w:marLeft w:val="0"/>
                      <w:marRight w:val="0"/>
                      <w:marTop w:val="0"/>
                      <w:marBottom w:val="0"/>
                      <w:divBdr>
                        <w:top w:val="none" w:sz="0" w:space="0" w:color="auto"/>
                        <w:left w:val="none" w:sz="0" w:space="0" w:color="auto"/>
                        <w:bottom w:val="none" w:sz="0" w:space="0" w:color="auto"/>
                        <w:right w:val="none" w:sz="0" w:space="0" w:color="auto"/>
                      </w:divBdr>
                      <w:divsChild>
                        <w:div w:id="931938357">
                          <w:marLeft w:val="0"/>
                          <w:marRight w:val="0"/>
                          <w:marTop w:val="0"/>
                          <w:marBottom w:val="0"/>
                          <w:divBdr>
                            <w:top w:val="none" w:sz="0" w:space="0" w:color="auto"/>
                            <w:left w:val="none" w:sz="0" w:space="0" w:color="auto"/>
                            <w:bottom w:val="none" w:sz="0" w:space="0" w:color="auto"/>
                            <w:right w:val="none" w:sz="0" w:space="0" w:color="auto"/>
                          </w:divBdr>
                          <w:divsChild>
                            <w:div w:id="2098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_popup&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JOČIĆ, Svetlana </Reference>
    <Case_x0020_Year xmlns="63130c8a-8d1f-4e28-8ee3-43603ca9ef3b">2009</Case_x0020_Year>
    <Case_x0020_Status xmlns="16f2acb5-7363-4076-9084-069fc3bb4325">CASE CLOSED</Case_x0020_Status>
    <Date_x0020_of_x0020_Adoption xmlns="16f2acb5-7363-4076-9084-069fc3bb4325">2013-04-22T22:00:00+00:00</Date_x0020_of_x0020_Adoption>
    <Case_x0020_Number xmlns="16f2acb5-7363-4076-9084-069fc3bb4325">034/09</Case_x0020_Number>
    <Type_x0020_of_x0020_Document xmlns="16f2acb5-7363-4076-9084-069fc3bb4325">Opinion</Type_x0020_of_x0020_Document>
    <_dlc_DocId xmlns="b9fab99d-1571-47f6-8995-3a195ef041f8">M5JDUUKXSQ5W-25-732</_dlc_DocId>
    <_dlc_DocIdUrl xmlns="b9fab99d-1571-47f6-8995-3a195ef041f8">
      <Url>http://www.unmikonline.org/hrap/Eng/_layouts/DocIdRedir.aspx?ID=M5JDUUKXSQ5W-25-732</Url>
      <Description>M5JDUUKXSQ5W-25-732</Description>
    </_dlc_DocIdUrl>
  </documentManagement>
</p:properties>
</file>

<file path=customXml/itemProps1.xml><?xml version="1.0" encoding="utf-8"?>
<ds:datastoreItem xmlns:ds="http://schemas.openxmlformats.org/officeDocument/2006/customXml" ds:itemID="{ED828F5F-4806-4457-8F09-F2ED9511E50E}"/>
</file>

<file path=customXml/itemProps2.xml><?xml version="1.0" encoding="utf-8"?>
<ds:datastoreItem xmlns:ds="http://schemas.openxmlformats.org/officeDocument/2006/customXml" ds:itemID="{59A2E997-7870-4EF3-8630-ECB79ED6B168}"/>
</file>

<file path=customXml/itemProps3.xml><?xml version="1.0" encoding="utf-8"?>
<ds:datastoreItem xmlns:ds="http://schemas.openxmlformats.org/officeDocument/2006/customXml" ds:itemID="{AF522DA1-E5E0-428C-AC2E-76287180B2CC}"/>
</file>

<file path=customXml/itemProps4.xml><?xml version="1.0" encoding="utf-8"?>
<ds:datastoreItem xmlns:ds="http://schemas.openxmlformats.org/officeDocument/2006/customXml" ds:itemID="{413814C6-2FB1-4F73-887C-27586D5C13D9}"/>
</file>

<file path=customXml/itemProps5.xml><?xml version="1.0" encoding="utf-8"?>
<ds:datastoreItem xmlns:ds="http://schemas.openxmlformats.org/officeDocument/2006/customXml" ds:itemID="{B9ED85DF-2825-46F6-9B75-1777BC76D715}"/>
</file>

<file path=docProps/app.xml><?xml version="1.0" encoding="utf-8"?>
<Properties xmlns="http://schemas.openxmlformats.org/officeDocument/2006/extended-properties" xmlns:vt="http://schemas.openxmlformats.org/officeDocument/2006/docPropsVTypes">
  <Template>Normal</Template>
  <TotalTime>0</TotalTime>
  <Pages>3</Pages>
  <Words>12250</Words>
  <Characters>69825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81912</CharactersWithSpaces>
  <SharedDoc>false</SharedDoc>
  <HLinks>
    <vt:vector size="24" baseType="variant">
      <vt:variant>
        <vt:i4>3473468</vt:i4>
      </vt:variant>
      <vt:variant>
        <vt:i4>3</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2013-04-22T17:06:00Z</cp:lastPrinted>
  <dcterms:created xsi:type="dcterms:W3CDTF">2013-06-10T08:49:00Z</dcterms:created>
  <dcterms:modified xsi:type="dcterms:W3CDTF">2013-06-10T08:49:00Z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3a5abed5-48de-4f08-a89c-0a71a3304c06</vt:lpwstr>
  </property>
</Properties>
</file>